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D721" w14:textId="77777777" w:rsidR="00AA6F72" w:rsidRDefault="00000000">
      <w:pPr>
        <w:widowControl w:val="0"/>
        <w:jc w:val="center"/>
        <w:rPr>
          <w:rFonts w:ascii="Times New Roman" w:hAnsi="Times New Roman" w:cs="Times New Roman"/>
          <w:b/>
          <w:sz w:val="24"/>
          <w:szCs w:val="24"/>
        </w:rPr>
      </w:pPr>
      <w:r>
        <w:rPr>
          <w:rFonts w:ascii="Times New Roman" w:hAnsi="Times New Roman" w:cs="Times New Roman"/>
          <w:b/>
          <w:color w:val="000000" w:themeColor="text1"/>
          <w:sz w:val="24"/>
          <w:szCs w:val="24"/>
        </w:rPr>
        <w:t>El III perfeccionamiento del Sistema Nacional de Educación en Cuba</w:t>
      </w:r>
      <w:r>
        <w:rPr>
          <w:rFonts w:ascii="Times New Roman" w:hAnsi="Times New Roman" w:cs="Times New Roman"/>
          <w:b/>
          <w:sz w:val="24"/>
          <w:szCs w:val="24"/>
        </w:rPr>
        <w:t xml:space="preserve"> </w:t>
      </w:r>
    </w:p>
    <w:p w14:paraId="346CE10F" w14:textId="77777777" w:rsidR="00AA6F72" w:rsidRPr="00D06E1D" w:rsidRDefault="00000000">
      <w:pPr>
        <w:widowControl w:val="0"/>
        <w:jc w:val="center"/>
        <w:rPr>
          <w:rFonts w:ascii="Times New Roman" w:hAnsi="Times New Roman" w:cs="Times New Roman"/>
          <w:bCs/>
          <w:iCs/>
          <w:sz w:val="24"/>
          <w:szCs w:val="24"/>
          <w:lang w:val="en-US"/>
        </w:rPr>
      </w:pPr>
      <w:r>
        <w:rPr>
          <w:rFonts w:ascii="Times New Roman" w:eastAsia="Times New Roman" w:hAnsi="Times New Roman" w:cs="Times New Roman"/>
          <w:sz w:val="24"/>
          <w:szCs w:val="24"/>
          <w:lang w:val="en-US" w:eastAsia="es-ES"/>
        </w:rPr>
        <w:t>The III improvement of the National Education System in Cuba</w:t>
      </w:r>
      <w:r w:rsidRPr="00D06E1D">
        <w:rPr>
          <w:rFonts w:ascii="Times New Roman" w:hAnsi="Times New Roman" w:cs="Times New Roman"/>
          <w:bCs/>
          <w:iCs/>
          <w:sz w:val="24"/>
          <w:szCs w:val="24"/>
          <w:lang w:val="en-US"/>
        </w:rPr>
        <w:t xml:space="preserve"> </w:t>
      </w:r>
    </w:p>
    <w:p w14:paraId="5002CEA5" w14:textId="77777777" w:rsidR="00AA6F72"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16BE73C0" w14:textId="77777777" w:rsidR="00AA6F72"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236B3E21" w14:textId="77777777" w:rsidR="00AA6F72"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sz w:val="24"/>
          <w:szCs w:val="24"/>
        </w:rPr>
        <w:t xml:space="preserve">Dr. C Silvia </w:t>
      </w:r>
      <w:proofErr w:type="spellStart"/>
      <w:r>
        <w:rPr>
          <w:rFonts w:ascii="Times New Roman" w:hAnsi="Times New Roman" w:cs="Times New Roman"/>
          <w:sz w:val="24"/>
          <w:szCs w:val="24"/>
        </w:rPr>
        <w:t>Maria</w:t>
      </w:r>
      <w:proofErr w:type="spellEnd"/>
      <w:r>
        <w:rPr>
          <w:rFonts w:ascii="Times New Roman" w:hAnsi="Times New Roman" w:cs="Times New Roman"/>
          <w:sz w:val="24"/>
          <w:szCs w:val="24"/>
        </w:rPr>
        <w:t xml:space="preserve"> Navarro Quintero</w:t>
      </w:r>
      <w:r>
        <w:rPr>
          <w:rStyle w:val="Refdenotaalpie"/>
          <w:rFonts w:ascii="Times New Roman" w:hAnsi="Times New Roman" w:cs="Times New Roman"/>
          <w:sz w:val="24"/>
          <w:szCs w:val="24"/>
        </w:rPr>
        <w:footnoteReference w:id="1"/>
      </w:r>
      <w:r>
        <w:rPr>
          <w:rFonts w:ascii="Times New Roman" w:hAnsi="Times New Roman" w:cs="Times New Roman"/>
          <w:i/>
          <w:sz w:val="24"/>
          <w:szCs w:val="24"/>
        </w:rPr>
        <w:t xml:space="preserve"> </w:t>
      </w:r>
    </w:p>
    <w:p w14:paraId="643B465D" w14:textId="77777777" w:rsidR="00AA6F72"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6" w:history="1">
        <w:r>
          <w:rPr>
            <w:rStyle w:val="Hipervnculo"/>
            <w:rFonts w:ascii="Times New Roman" w:hAnsi="Times New Roman" w:cs="Times New Roman"/>
            <w:color w:val="auto"/>
            <w:sz w:val="24"/>
            <w:szCs w:val="24"/>
            <w:u w:val="none"/>
          </w:rPr>
          <w:t>iccp@iccp.rimed.cu</w:t>
        </w:r>
      </w:hyperlink>
    </w:p>
    <w:p w14:paraId="51073779" w14:textId="77777777" w:rsidR="00AA6F72"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fldChar w:fldCharType="begin"/>
      </w:r>
      <w:r>
        <w:rPr>
          <w:rFonts w:ascii="Times New Roman" w:hAnsi="Times New Roman" w:cs="Times New Roman"/>
        </w:rPr>
        <w:instrText xml:space="preserve"> HYPERLINK "https://orcid.org/0000-0002-9727-" </w:instrText>
      </w:r>
      <w:r>
        <w:fldChar w:fldCharType="separate"/>
      </w:r>
      <w:r>
        <w:rPr>
          <w:rStyle w:val="Hipervnculo"/>
          <w:rFonts w:ascii="Times New Roman" w:hAnsi="Times New Roman" w:cs="Times New Roman"/>
          <w:color w:val="auto"/>
          <w:sz w:val="24"/>
          <w:szCs w:val="24"/>
          <w:u w:val="none"/>
        </w:rPr>
        <w:t>https://orcid.org/0000-0002-9727-</w:t>
      </w:r>
      <w:r>
        <w:rPr>
          <w:rStyle w:val="Hipervnculo"/>
          <w:rFonts w:ascii="Times New Roman" w:hAnsi="Times New Roman" w:cs="Times New Roman"/>
          <w:color w:val="auto"/>
          <w:sz w:val="24"/>
          <w:szCs w:val="24"/>
          <w:u w:val="none"/>
        </w:rPr>
        <w:fldChar w:fldCharType="end"/>
      </w:r>
      <w:r>
        <w:rPr>
          <w:rStyle w:val="Hipervnculo"/>
          <w:rFonts w:ascii="Times New Roman" w:hAnsi="Times New Roman" w:cs="Times New Roman"/>
          <w:color w:val="auto"/>
          <w:sz w:val="24"/>
          <w:szCs w:val="24"/>
          <w:u w:val="none"/>
        </w:rPr>
        <w:t xml:space="preserve">8775 </w:t>
      </w:r>
    </w:p>
    <w:p w14:paraId="1CE8070F" w14:textId="77777777" w:rsidR="00AA6F72"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La Habana, Cuba </w:t>
      </w:r>
    </w:p>
    <w:p w14:paraId="0C6385B9" w14:textId="77777777" w:rsidR="00AA6F72"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color w:val="000000" w:themeColor="text1"/>
          <w:sz w:val="24"/>
          <w:szCs w:val="24"/>
        </w:rPr>
        <w:t>Dr. C Alberto Diego Valle Lima</w:t>
      </w:r>
      <w:r>
        <w:rPr>
          <w:rStyle w:val="Refdenotaalpie"/>
          <w:rFonts w:ascii="Times New Roman" w:hAnsi="Times New Roman" w:cs="Times New Roman"/>
          <w:color w:val="000000" w:themeColor="text1"/>
          <w:sz w:val="24"/>
          <w:szCs w:val="24"/>
        </w:rPr>
        <w:footnoteReference w:id="2"/>
      </w:r>
    </w:p>
    <w:p w14:paraId="610DB151" w14:textId="77777777" w:rsidR="00AA6F72"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color w:val="000000" w:themeColor="text1"/>
          <w:sz w:val="24"/>
          <w:szCs w:val="24"/>
        </w:rPr>
        <w:t xml:space="preserve"> valle@iccp.rimed.cu</w:t>
      </w:r>
    </w:p>
    <w:p w14:paraId="65586995" w14:textId="77777777" w:rsidR="00AA6F72"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https://orcid.org/0000-0001-6263-9158</w:t>
      </w:r>
    </w:p>
    <w:p w14:paraId="0BD76E52" w14:textId="77777777" w:rsidR="00AA6F72"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La Habana,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A6F72" w14:paraId="7BD3E4D9" w14:textId="77777777">
        <w:tc>
          <w:tcPr>
            <w:tcW w:w="2942" w:type="dxa"/>
            <w:shd w:val="clear" w:color="auto" w:fill="00B0F0"/>
          </w:tcPr>
          <w:p w14:paraId="62AFF68F" w14:textId="77777777" w:rsidR="00AA6F72"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1392C3B0" w14:textId="77777777" w:rsidR="00AA6F72"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0069F475" w14:textId="77777777" w:rsidR="00AA6F72"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AA6F72" w14:paraId="4E38ABA6" w14:textId="77777777">
        <w:tc>
          <w:tcPr>
            <w:tcW w:w="2942" w:type="dxa"/>
          </w:tcPr>
          <w:p w14:paraId="0AFF4974" w14:textId="77777777" w:rsidR="00AA6F72"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mayo de 2025</w:t>
            </w:r>
          </w:p>
        </w:tc>
        <w:tc>
          <w:tcPr>
            <w:tcW w:w="2943" w:type="dxa"/>
          </w:tcPr>
          <w:p w14:paraId="7EB1A94C" w14:textId="77777777" w:rsidR="00AA6F72"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julio de 2025</w:t>
            </w:r>
          </w:p>
        </w:tc>
        <w:tc>
          <w:tcPr>
            <w:tcW w:w="2943" w:type="dxa"/>
          </w:tcPr>
          <w:p w14:paraId="00B8D7BA" w14:textId="77777777" w:rsidR="00AA6F72"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6F1DD82B" w14:textId="77777777" w:rsidR="00AA6F72" w:rsidRDefault="00AA6F72">
      <w:pPr>
        <w:widowControl w:val="0"/>
        <w:rPr>
          <w:rFonts w:ascii="Times New Roman" w:hAnsi="Times New Roman" w:cs="Times New Roman"/>
          <w:sz w:val="24"/>
        </w:rPr>
      </w:pPr>
    </w:p>
    <w:p w14:paraId="66FADF42" w14:textId="77777777" w:rsidR="00AA6F72"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Resumen</w:t>
      </w:r>
    </w:p>
    <w:p w14:paraId="4153C7B6" w14:textId="77777777" w:rsidR="00AA6F72" w:rsidRDefault="00000000">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En el trabajo se comienza con una introducción donde se explican algunos antecedentes y fundamentos. Se continúa con la explicación de los métodos utilizados donde predominan los métodos teóricos tales como el análisis, la síntesis, la generalización y la sistematización de resultados desarrollados y obtenidos durante la investigación sobre el III Perfeccionamiento del Sistema Nacional de Educación. Posteriormente se incluye la discusión y el análisis de los resultados, donde se explican los distintos tipos de investigaciones desarrolladas y sus características. Se exponen brevemente los resultados </w:t>
      </w:r>
      <w:proofErr w:type="gramStart"/>
      <w:r>
        <w:rPr>
          <w:rFonts w:ascii="Times New Roman" w:hAnsi="Times New Roman" w:cs="Times New Roman"/>
          <w:sz w:val="24"/>
          <w:szCs w:val="24"/>
          <w:lang w:eastAsia="es-ES"/>
        </w:rPr>
        <w:t>y</w:t>
      </w:r>
      <w:proofErr w:type="gramEnd"/>
      <w:r>
        <w:rPr>
          <w:rFonts w:ascii="Times New Roman" w:hAnsi="Times New Roman" w:cs="Times New Roman"/>
          <w:sz w:val="24"/>
          <w:szCs w:val="24"/>
          <w:lang w:eastAsia="es-ES"/>
        </w:rPr>
        <w:t xml:space="preserve"> por último, se valoran las conclusiones del trabajo.</w:t>
      </w:r>
    </w:p>
    <w:p w14:paraId="462157B3" w14:textId="77777777" w:rsidR="00AA6F72" w:rsidRDefault="00000000">
      <w:pPr>
        <w:spacing w:line="360" w:lineRule="auto"/>
        <w:jc w:val="both"/>
        <w:rPr>
          <w:rFonts w:ascii="Times New Roman" w:hAnsi="Times New Roman" w:cs="Times New Roman"/>
          <w:i/>
          <w:sz w:val="24"/>
          <w:szCs w:val="24"/>
          <w:lang w:eastAsia="es-ES"/>
        </w:rPr>
      </w:pPr>
      <w:r>
        <w:rPr>
          <w:rFonts w:ascii="Times New Roman" w:hAnsi="Times New Roman" w:cs="Times New Roman"/>
          <w:i/>
          <w:sz w:val="24"/>
          <w:szCs w:val="24"/>
          <w:lang w:eastAsia="es-ES"/>
        </w:rPr>
        <w:lastRenderedPageBreak/>
        <w:t xml:space="preserve">Palabras clave: Perfeccionamiento del SNE, investigación educativa </w:t>
      </w:r>
    </w:p>
    <w:p w14:paraId="082E4BEB" w14:textId="77777777" w:rsidR="00AA6F72" w:rsidRPr="00D06E1D" w:rsidRDefault="00000000">
      <w:pPr>
        <w:spacing w:line="360" w:lineRule="auto"/>
        <w:jc w:val="both"/>
        <w:rPr>
          <w:rFonts w:ascii="Times New Roman" w:eastAsia="Calibri" w:hAnsi="Times New Roman" w:cs="Times New Roman"/>
          <w:b/>
          <w:bCs/>
          <w:sz w:val="28"/>
          <w:szCs w:val="24"/>
          <w:lang w:val="en-US"/>
        </w:rPr>
      </w:pPr>
      <w:r w:rsidRPr="00D06E1D">
        <w:rPr>
          <w:rFonts w:ascii="Times New Roman" w:eastAsia="Calibri" w:hAnsi="Times New Roman" w:cs="Times New Roman"/>
          <w:b/>
          <w:bCs/>
          <w:sz w:val="28"/>
          <w:szCs w:val="24"/>
          <w:lang w:val="en-US"/>
        </w:rPr>
        <w:t>Abstract</w:t>
      </w:r>
    </w:p>
    <w:p w14:paraId="73231A55" w14:textId="77777777" w:rsidR="00AA6F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The work begins with an introduction where some background and foundations are explained. The explanation of the methods used continues, where theoretical methods such as analysis, synthesis, generalization and systematization of results developed and obtained during the research on the III Improvement of the National Education System predominate. Subsequently, the discussion and analysis of the results is included, where the different types of research developed and their characteristics are explained. The results are briefly presented and finally, the conclusions of the work are assessed.</w:t>
      </w:r>
    </w:p>
    <w:p w14:paraId="24B63647" w14:textId="77777777" w:rsidR="00AA6F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Pr>
          <w:rFonts w:ascii="Times New Roman" w:eastAsia="Times New Roman" w:hAnsi="Times New Roman" w:cs="Times New Roman"/>
          <w:i/>
          <w:sz w:val="24"/>
          <w:szCs w:val="24"/>
          <w:lang w:val="en-US" w:eastAsia="es-ES"/>
        </w:rPr>
        <w:t>Keywords: Improvement of the SNE, educational research</w:t>
      </w:r>
    </w:p>
    <w:p w14:paraId="7D4CFDF5" w14:textId="77777777" w:rsidR="00AA6F72" w:rsidRPr="00D06E1D" w:rsidRDefault="00AA6F72">
      <w:pPr>
        <w:spacing w:line="360" w:lineRule="auto"/>
        <w:jc w:val="both"/>
        <w:rPr>
          <w:rFonts w:ascii="Arial" w:hAnsi="Arial" w:cs="Arial"/>
          <w:sz w:val="24"/>
          <w:szCs w:val="24"/>
          <w:lang w:val="en-US" w:eastAsia="es-ES"/>
        </w:rPr>
      </w:pPr>
    </w:p>
    <w:p w14:paraId="0DB79ABD" w14:textId="77777777" w:rsidR="00AA6F72"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57B80C84" w14:textId="77777777" w:rsidR="00AA6F72" w:rsidRDefault="00000000">
      <w:pPr>
        <w:tabs>
          <w:tab w:val="left" w:pos="709"/>
        </w:tabs>
        <w:spacing w:before="240" w:line="360" w:lineRule="auto"/>
        <w:ind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III Perfeccionamiento del Sistema Nacional de Educación (SNE) se asume como una investigación compleja, debido a la naturaleza de los problemas que se presentan en la actualidad en la Educación cubana. Esta investigación que a su vez incluye diferentes formas y tipos de investigaciones, propone soluciones con un enfoque más integral y multifacético, que faciliten una transformación en el funcionamiento de las instituciones y modalidades educativas en los diferentes niveles y tipos de educación. </w:t>
      </w:r>
    </w:p>
    <w:p w14:paraId="4AC50536" w14:textId="77777777" w:rsidR="00AA6F72" w:rsidRDefault="00000000">
      <w:pPr>
        <w:tabs>
          <w:tab w:val="left" w:pos="709"/>
        </w:tabs>
        <w:spacing w:before="240" w:line="360" w:lineRule="auto"/>
        <w:ind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Estas transformaciones, entendidas como procesos sociales complejos, se acometen en el marco de la investigación del III Perfeccionamiento del Sistema Nacional de Educación (SNE), que en las actuales condiciones y exigencias histórico - sociales, se deben fundamentar y sistematizar a partir de los resultados científicos que se van obteniendo.</w:t>
      </w:r>
    </w:p>
    <w:p w14:paraId="0365B99E" w14:textId="77777777" w:rsidR="00AA6F72" w:rsidRDefault="00000000">
      <w:pPr>
        <w:pStyle w:val="Estilo"/>
        <w:tabs>
          <w:tab w:val="left" w:pos="709"/>
        </w:tabs>
        <w:spacing w:before="240" w:after="200" w:line="360" w:lineRule="auto"/>
        <w:ind w:right="4"/>
        <w:jc w:val="both"/>
        <w:rPr>
          <w:color w:val="000000" w:themeColor="text1"/>
        </w:rPr>
      </w:pPr>
      <w:r>
        <w:rPr>
          <w:color w:val="000000" w:themeColor="text1"/>
        </w:rPr>
        <w:t xml:space="preserve">En estas transformaciones las instituciones educativas deben considerar la necesidad de un mayor protagonismo de los agentes educativos, una mayor flexibilización de los estilos de dirección y del </w:t>
      </w:r>
      <w:r>
        <w:rPr>
          <w:color w:val="000000" w:themeColor="text1"/>
        </w:rPr>
        <w:lastRenderedPageBreak/>
        <w:t>currículo, así como una mayor preparación de directivos y docentes para llevar a cabo las transformaciones diseñadas.</w:t>
      </w:r>
    </w:p>
    <w:p w14:paraId="708EA36F" w14:textId="77777777" w:rsidR="00AA6F72" w:rsidRDefault="00000000">
      <w:pPr>
        <w:pStyle w:val="Estilo"/>
        <w:tabs>
          <w:tab w:val="left" w:pos="709"/>
        </w:tabs>
        <w:spacing w:before="240" w:after="200" w:line="360" w:lineRule="auto"/>
        <w:ind w:right="4"/>
        <w:jc w:val="both"/>
        <w:rPr>
          <w:color w:val="000000" w:themeColor="text1"/>
        </w:rPr>
      </w:pPr>
      <w:r>
        <w:rPr>
          <w:color w:val="000000" w:themeColor="text1"/>
        </w:rPr>
        <w:t>Todo esto para dar cumplimiento a los lineamientos generales formulados en el VII Congreso del Partido Comunista de Cuba (PCC), en los objetivos de la I Conferencia del PCC, en la implementación del nuevo modelo económico y en la puesta en práctica de la nueva Constitución, en la que se ratifican todos los derechos de los ciudadanos cubanos, especialmente los relacionados con la educación. Así mismo permite dar cumplimiento a las metas y objetivos de la Agenda 2030.</w:t>
      </w:r>
    </w:p>
    <w:p w14:paraId="2B20CCA4" w14:textId="77777777" w:rsidR="00AA6F72" w:rsidRDefault="00000000">
      <w:pPr>
        <w:pStyle w:val="Estilo"/>
        <w:tabs>
          <w:tab w:val="left" w:pos="709"/>
        </w:tabs>
        <w:spacing w:before="240" w:after="200" w:line="360" w:lineRule="auto"/>
        <w:ind w:right="4"/>
        <w:jc w:val="both"/>
        <w:rPr>
          <w:color w:val="000000" w:themeColor="text1"/>
        </w:rPr>
      </w:pPr>
      <w:r>
        <w:rPr>
          <w:color w:val="000000" w:themeColor="text1"/>
        </w:rPr>
        <w:t>En el presente trabajo se abordan los principales aspectos relacionados con los tipos de investigación desarrolladas, lo que constituye un modesto aporte a los trabajos de sistematización del III Perfeccionamiento del SNE y tienen la intención de revelar el valor metodológico de las vías empleadas para conducir desde la investigación este proceso, por lo que se enmarcan etapas, acciones y métodos utilizados, en correspondencia con las exigencias y condiciones del momento histórico, así como la valoración crítica del proceso, con el fin de que puedan servir de referencia en próximos procesos.</w:t>
      </w:r>
    </w:p>
    <w:p w14:paraId="24577809" w14:textId="77777777" w:rsidR="00AA6F72"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 xml:space="preserve">MATERIALES Y MÉTODOS </w:t>
      </w:r>
    </w:p>
    <w:p w14:paraId="4AA4BD8C" w14:textId="77777777" w:rsidR="00AA6F72" w:rsidRDefault="00000000">
      <w:pPr>
        <w:spacing w:line="360" w:lineRule="auto"/>
        <w:jc w:val="both"/>
        <w:rPr>
          <w:rFonts w:ascii="Times New Roman" w:eastAsia="Calibri" w:hAnsi="Times New Roman" w:cs="Times New Roman"/>
          <w:color w:val="000000" w:themeColor="text1"/>
          <w:sz w:val="24"/>
          <w:szCs w:val="24"/>
        </w:rPr>
      </w:pPr>
      <w:r>
        <w:rPr>
          <w:rFonts w:ascii="Times New Roman" w:eastAsiaTheme="minorEastAsia" w:hAnsi="Times New Roman" w:cs="Times New Roman"/>
          <w:sz w:val="24"/>
          <w:szCs w:val="24"/>
        </w:rPr>
        <w:t>En el trabajo se han utilizado fundamentalmente métodos teóricos tales como: la comparación para poder valorar las diferencias entre los tipos de investigaciones, de igual forma se ha utilizado el análisis, la síntesis, la generalización y la sistematización para poder sacar conclusiones en relación con las características de los tipos de investigación utilizadas.</w:t>
      </w:r>
    </w:p>
    <w:p w14:paraId="2D087A41" w14:textId="77777777" w:rsidR="00AA6F72" w:rsidRDefault="00000000">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La investigación científica puede ser asumida como el proceso de carácter creativo e innovador, dirigido a encontrar respuesta a problemas y con ello aumentar y enriquecer el conocimiento humano. Dicho proceso implica la concatenación lógica y rigurosa de una serie de etapas o tareas del proceso del conocimiento. Se basa en el método científico y sigue un grupo de reglas y procedimientos.</w:t>
      </w:r>
    </w:p>
    <w:p w14:paraId="3946D3A6" w14:textId="77777777" w:rsidR="00AA6F72" w:rsidRDefault="00000000">
      <w:pPr>
        <w:pStyle w:val="Textoindependiente"/>
        <w:spacing w:before="240" w:line="360" w:lineRule="auto"/>
        <w:rPr>
          <w:rFonts w:ascii="Times New Roman" w:hAnsi="Times New Roman"/>
          <w:color w:val="000000" w:themeColor="text1"/>
          <w:szCs w:val="24"/>
        </w:rPr>
      </w:pPr>
      <w:r>
        <w:rPr>
          <w:rFonts w:ascii="Times New Roman" w:hAnsi="Times New Roman"/>
          <w:color w:val="000000" w:themeColor="text1"/>
          <w:szCs w:val="24"/>
        </w:rPr>
        <w:lastRenderedPageBreak/>
        <w:t>Podemos asumir la investigación educativa como un proceso de análisis y valoración de un problema por métodos científicos para llegar a resultados que puedan transformar positivamente su estado.</w:t>
      </w:r>
    </w:p>
    <w:p w14:paraId="6D325E72" w14:textId="77777777" w:rsidR="00AA6F72" w:rsidRDefault="00000000">
      <w:pPr>
        <w:tabs>
          <w:tab w:val="left" w:pos="720"/>
        </w:tabs>
        <w:spacing w:line="36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La investigación educativa por su carácter científico tiene un grupo de características. Entre ellas, l</w:t>
      </w:r>
      <w:r>
        <w:rPr>
          <w:rFonts w:ascii="Times New Roman" w:eastAsia="Calibri" w:hAnsi="Times New Roman" w:cs="Times New Roman"/>
          <w:color w:val="000000" w:themeColor="text1"/>
          <w:sz w:val="24"/>
          <w:szCs w:val="24"/>
        </w:rPr>
        <w:t xml:space="preserve">a objetividad, la racionalidad, la sistematicidad, la generalización y la flexibilidad. </w:t>
      </w:r>
    </w:p>
    <w:p w14:paraId="405E1EC5" w14:textId="77777777" w:rsidR="00AA6F72" w:rsidRDefault="00000000">
      <w:pPr>
        <w:tabs>
          <w:tab w:val="left" w:pos="426"/>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ahí que se asuma el proceso de perfeccionamiento del SNE en nuestro país, como una investigación educativa, ya que en él se utilizan métodos científicos para llegar a resultados que puedan transformar el estado de la Educación.</w:t>
      </w:r>
    </w:p>
    <w:p w14:paraId="75CF4002" w14:textId="77777777" w:rsidR="00AA6F72" w:rsidRDefault="00000000">
      <w:pPr>
        <w:tabs>
          <w:tab w:val="left" w:pos="9072"/>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perfeccionamiento del Sistema Nacional de Educación ha tenido un carácter continuo y sistemático en el desarrollo de la educación cubana. En este proceso se han producido modificaciones en diferentes momentos, que han representado saltos cualitativos. El perfeccionamiento continuo del sistema educativo se ha acompañado igualmente del perfeccionamiento de la formación continua y permanente del personal docente.</w:t>
      </w:r>
    </w:p>
    <w:p w14:paraId="2AD781C4" w14:textId="77777777" w:rsidR="00AA6F72" w:rsidRDefault="00000000">
      <w:pPr>
        <w:tabs>
          <w:tab w:val="left" w:pos="426"/>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 experiencias del I y II Perfeccionamiento constituyen antecedentes importantes en el actual proceso del III Perfeccionamiento, en particular se asumieron dialécticamente procederes investigativos anteriores como los estudios diagnósticos y pronósticos.</w:t>
      </w:r>
    </w:p>
    <w:p w14:paraId="289A0B8E" w14:textId="77777777" w:rsidR="00AA6F72" w:rsidRDefault="00000000">
      <w:pPr>
        <w:tabs>
          <w:tab w:val="left" w:pos="426"/>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Continuamos entonces, con la discusión y el análisis de los resultados que se presentan en relación con los tipos de investigaciones utilizadas.</w:t>
      </w:r>
    </w:p>
    <w:p w14:paraId="38BA07C6" w14:textId="77777777" w:rsidR="00AA6F72" w:rsidRDefault="00000000">
      <w:pPr>
        <w:tabs>
          <w:tab w:val="left" w:pos="426"/>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es posible un perfeccionamiento sin contar con el estado real de la educación en el país, por lo que del 2010 al 2013 se realiza un diagnóstico de la Educación General (Primaria, Secundaria y Preuniversitario) tanto teórico como empírico que ponen de manifiesto un grupo de insuficiencias entre las que se encuentran: sobrecarga de los programas, no actualización de los contenidos, insuficiente relación </w:t>
      </w:r>
      <w:proofErr w:type="spellStart"/>
      <w:r>
        <w:rPr>
          <w:rFonts w:ascii="Times New Roman" w:hAnsi="Times New Roman" w:cs="Times New Roman"/>
          <w:color w:val="000000" w:themeColor="text1"/>
          <w:sz w:val="24"/>
          <w:szCs w:val="24"/>
        </w:rPr>
        <w:t>intermateria</w:t>
      </w:r>
      <w:proofErr w:type="spellEnd"/>
      <w:r>
        <w:rPr>
          <w:rFonts w:ascii="Times New Roman" w:hAnsi="Times New Roman" w:cs="Times New Roman"/>
          <w:color w:val="000000" w:themeColor="text1"/>
          <w:sz w:val="24"/>
          <w:szCs w:val="24"/>
        </w:rPr>
        <w:t>, etc.</w:t>
      </w:r>
    </w:p>
    <w:p w14:paraId="53C911D1" w14:textId="77777777" w:rsidR="00AA6F72" w:rsidRDefault="00000000">
      <w:pPr>
        <w:tabs>
          <w:tab w:val="left" w:pos="426"/>
        </w:tabs>
        <w:spacing w:before="120" w:after="1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Tipos de investigación utilizadas</w:t>
      </w:r>
      <w:r w:rsidR="00D06E1D">
        <w:rPr>
          <w:rFonts w:ascii="Times New Roman" w:hAnsi="Times New Roman" w:cs="Times New Roman"/>
          <w:bCs/>
          <w:color w:val="000000" w:themeColor="text1"/>
          <w:sz w:val="24"/>
          <w:szCs w:val="24"/>
        </w:rPr>
        <w:t>:</w:t>
      </w:r>
    </w:p>
    <w:p w14:paraId="63BD656D" w14:textId="77777777" w:rsidR="00AA6F72" w:rsidRDefault="00000000">
      <w:pPr>
        <w:spacing w:line="360" w:lineRule="auto"/>
        <w:jc w:val="both"/>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lastRenderedPageBreak/>
        <w:t xml:space="preserve">En la investigación sobre el III Perfeccionamiento del SNE se estudiaron los tipos de investigaciones que se habían utilizado con este fin en otros momentos y se valoraron los elementos más importantes que aparecen en la literatura. Sin embargo, el mismo desarrollo de la investigación y los problemas que fueron surgiendo determinaron los tipos de investigaciones que al final se utilizaron. </w:t>
      </w:r>
    </w:p>
    <w:p w14:paraId="73E8F304" w14:textId="77777777" w:rsidR="00AA6F72" w:rsidRDefault="00000000">
      <w:pPr>
        <w:tabs>
          <w:tab w:val="left" w:pos="195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partir de los criterios valorados, los tipos de investigaciones utilizadas en este III Perfeccionamiento del SNE fueron: teórica, masiva, profundización, de consulta y por encargos, lo que permite considerarla como una investigación compleja. Lo anterior puede verse en el esquema siguiente:</w:t>
      </w:r>
    </w:p>
    <w:p w14:paraId="4ABFDA49" w14:textId="77777777" w:rsidR="00AA6F72" w:rsidRDefault="00AA6F72">
      <w:pPr>
        <w:tabs>
          <w:tab w:val="left" w:pos="1951"/>
        </w:tabs>
        <w:spacing w:line="360" w:lineRule="auto"/>
        <w:jc w:val="both"/>
        <w:rPr>
          <w:rFonts w:ascii="Times New Roman" w:hAnsi="Times New Roman" w:cs="Times New Roman"/>
          <w:color w:val="000000" w:themeColor="text1"/>
          <w:sz w:val="24"/>
          <w:szCs w:val="24"/>
        </w:rPr>
      </w:pPr>
    </w:p>
    <w:p w14:paraId="3D2609D9" w14:textId="77777777" w:rsidR="00AA6F72" w:rsidRDefault="00000000">
      <w:pPr>
        <w:tabs>
          <w:tab w:val="left" w:pos="1951"/>
        </w:tabs>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noProof/>
          <w:sz w:val="24"/>
          <w:szCs w:val="24"/>
          <w:lang w:eastAsia="es-ES"/>
        </w:rPr>
        <w:drawing>
          <wp:inline distT="0" distB="0" distL="0" distR="0" wp14:anchorId="221CC25B" wp14:editId="4458E165">
            <wp:extent cx="5496560" cy="2183130"/>
            <wp:effectExtent l="57150" t="0" r="66040" b="12192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7548FD0" w14:textId="77777777" w:rsidR="00AA6F72" w:rsidRDefault="00000000">
      <w:pPr>
        <w:spacing w:before="24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 1 Tipos de investigación en el III Perfeccionamiento del SNE</w:t>
      </w:r>
      <w:bookmarkStart w:id="0" w:name="_Toc2767193"/>
    </w:p>
    <w:p w14:paraId="021E116F" w14:textId="77777777" w:rsidR="00AA6F72" w:rsidRDefault="00000000">
      <w:pPr>
        <w:spacing w:before="240" w:line="360" w:lineRule="auto"/>
        <w:jc w:val="both"/>
        <w:rPr>
          <w:rStyle w:val="Ttulo2Car"/>
          <w:rFonts w:ascii="Times New Roman" w:hAnsi="Times New Roman" w:cs="Times New Roman"/>
          <w:b w:val="0"/>
          <w:bCs w:val="0"/>
          <w:color w:val="000000" w:themeColor="text1"/>
          <w:sz w:val="24"/>
          <w:szCs w:val="24"/>
        </w:rPr>
      </w:pPr>
      <w:r>
        <w:rPr>
          <w:rStyle w:val="Ttulo2Car"/>
          <w:rFonts w:ascii="Times New Roman" w:hAnsi="Times New Roman" w:cs="Times New Roman"/>
          <w:color w:val="000000" w:themeColor="text1"/>
          <w:sz w:val="24"/>
          <w:szCs w:val="24"/>
        </w:rPr>
        <w:t>Sobre la investigación teórica</w:t>
      </w:r>
    </w:p>
    <w:bookmarkEnd w:id="0"/>
    <w:p w14:paraId="568F6DF8" w14:textId="77777777" w:rsidR="00AA6F72" w:rsidRDefault="00000000">
      <w:pPr>
        <w:spacing w:before="240" w:after="120" w:line="36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En el desarrollo de la investigación para el III Perfeccionamiento del SNE se comenzó con una investigación </w:t>
      </w:r>
      <w:r>
        <w:rPr>
          <w:rFonts w:ascii="Times New Roman" w:hAnsi="Times New Roman" w:cs="Times New Roman"/>
          <w:color w:val="000000" w:themeColor="text1"/>
          <w:sz w:val="24"/>
          <w:szCs w:val="24"/>
          <w:u w:val="single"/>
        </w:rPr>
        <w:t>teórica</w:t>
      </w:r>
      <w:r>
        <w:rPr>
          <w:rFonts w:ascii="Times New Roman" w:hAnsi="Times New Roman" w:cs="Times New Roman"/>
          <w:color w:val="000000" w:themeColor="text1"/>
          <w:sz w:val="24"/>
          <w:szCs w:val="24"/>
        </w:rPr>
        <w:t xml:space="preserve"> en el 2010 a partir de la necesidad de estudiar los antecedentes y cuáles eran las características de los planes y programas de estudio (diagnóstico teórico), además de formalizar aquellas ideas primarias que debían seguirse para llevar a cabo las transformaciones propuestas.</w:t>
      </w:r>
    </w:p>
    <w:p w14:paraId="577AA819" w14:textId="77777777" w:rsidR="00AA6F72" w:rsidRDefault="00000000">
      <w:pPr>
        <w:pStyle w:val="Estilo"/>
        <w:tabs>
          <w:tab w:val="left" w:pos="709"/>
        </w:tabs>
        <w:spacing w:before="240" w:after="200" w:line="360" w:lineRule="auto"/>
        <w:ind w:right="4"/>
        <w:jc w:val="both"/>
        <w:rPr>
          <w:color w:val="000000" w:themeColor="text1"/>
        </w:rPr>
      </w:pPr>
      <w:r>
        <w:rPr>
          <w:color w:val="000000" w:themeColor="text1"/>
        </w:rPr>
        <w:lastRenderedPageBreak/>
        <w:t>La investigación teórica se caracterizó por analizar los procesos de perfeccionamientos anteriores, las tendencias de los sistemas educativos en algunos países, así como los resultados de partida y la elaboración de aquellos elementos transcendentes para el desarrollo de los trabajos de investigación. Las modalidades de la investigación teórica son: histórica, diagnóstica y prospectiva.</w:t>
      </w:r>
    </w:p>
    <w:p w14:paraId="178FB23B" w14:textId="77777777" w:rsidR="00AA6F72" w:rsidRDefault="00000000">
      <w:pPr>
        <w:pStyle w:val="Estilo"/>
        <w:tabs>
          <w:tab w:val="left" w:pos="709"/>
        </w:tabs>
        <w:spacing w:before="240" w:after="200" w:line="360" w:lineRule="auto"/>
        <w:ind w:right="4"/>
        <w:jc w:val="both"/>
        <w:rPr>
          <w:color w:val="000000" w:themeColor="text1"/>
        </w:rPr>
      </w:pPr>
      <w:r>
        <w:rPr>
          <w:b/>
          <w:color w:val="000000" w:themeColor="text1"/>
        </w:rPr>
        <w:t xml:space="preserve">Investigación teórica - histórica: </w:t>
      </w:r>
      <w:r>
        <w:rPr>
          <w:color w:val="000000" w:themeColor="text1"/>
        </w:rPr>
        <w:t xml:space="preserve">Esta modalidad de investigación permitió en primer lugar, hacer un análisis de los antecedentes fundamentales del actual proceso de Perfeccionamiento y sus relaciones con el contexto socio-político del país, ya que los dos perfeccionamientos realizados con anterioridad se desarrollaron en momentos de importantes transformaciones sociales. El primero de ellos en 1975 y el segundo en 1987. </w:t>
      </w:r>
    </w:p>
    <w:p w14:paraId="7EB55187"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partir de los estudios realizados se ratificaron los principios básicos que sustentan el Sistema Nacional de Educación (SNE) y los que han sustentado los procesos de Perfeccionamiento anteriores, agregando solo en este análisis el principio de los cambios asincrónicos, que propone realizar los cambios no siempre a la vez, sino cuando se necesiten y el desarrollo del país lo permita. </w:t>
      </w:r>
    </w:p>
    <w:p w14:paraId="0D05AEEB"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Otros antecedentes son: las transformaciones en los niveles educativos: Secundaria Básica, Preuniversitario y ETP; la elaboración de libros de textos y cuadernos de trabajo en determinados grados y asignaturas; la introducción de las </w:t>
      </w:r>
      <w:proofErr w:type="spellStart"/>
      <w:r>
        <w:rPr>
          <w:rFonts w:ascii="Times New Roman" w:hAnsi="Times New Roman" w:cs="Times New Roman"/>
          <w:color w:val="000000" w:themeColor="text1"/>
          <w:sz w:val="24"/>
          <w:szCs w:val="24"/>
        </w:rPr>
        <w:t>TICs</w:t>
      </w:r>
      <w:proofErr w:type="spellEnd"/>
      <w:r>
        <w:rPr>
          <w:rFonts w:ascii="Times New Roman" w:hAnsi="Times New Roman" w:cs="Times New Roman"/>
          <w:color w:val="000000" w:themeColor="text1"/>
          <w:sz w:val="24"/>
          <w:szCs w:val="24"/>
        </w:rPr>
        <w:t xml:space="preserve"> en el SNE; las adecuaciones a la organización escolar (RM 186/2014) y los resultados de las investigaciones vinculadas a la transformación de la institución educativa desarrollas en el ICCP desde la década de los años noventa.</w:t>
      </w:r>
    </w:p>
    <w:p w14:paraId="2E141F0D" w14:textId="77777777" w:rsidR="00AA6F72" w:rsidRDefault="00000000">
      <w:pPr>
        <w:pStyle w:val="Estilo"/>
        <w:tabs>
          <w:tab w:val="left" w:pos="709"/>
        </w:tabs>
        <w:spacing w:before="240" w:after="200" w:line="360" w:lineRule="auto"/>
        <w:ind w:right="4"/>
        <w:jc w:val="both"/>
        <w:rPr>
          <w:color w:val="000000" w:themeColor="text1"/>
        </w:rPr>
      </w:pPr>
      <w:r>
        <w:rPr>
          <w:color w:val="000000" w:themeColor="text1"/>
        </w:rPr>
        <w:t>Como parte de esta modalidad de investigación se realizaron estudios comparados con siete sistemas educativos de países de América Latina y el Caribe.</w:t>
      </w:r>
    </w:p>
    <w:p w14:paraId="54F7F99B"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Investigación teórica – diagnóstica: </w:t>
      </w:r>
      <w:r>
        <w:rPr>
          <w:rFonts w:ascii="Times New Roman" w:hAnsi="Times New Roman" w:cs="Times New Roman"/>
          <w:color w:val="000000" w:themeColor="text1"/>
          <w:sz w:val="24"/>
          <w:szCs w:val="24"/>
        </w:rPr>
        <w:t xml:space="preserve">La investigación </w:t>
      </w:r>
      <w:proofErr w:type="gramStart"/>
      <w:r>
        <w:rPr>
          <w:rFonts w:ascii="Times New Roman" w:hAnsi="Times New Roman" w:cs="Times New Roman"/>
          <w:color w:val="000000" w:themeColor="text1"/>
          <w:sz w:val="24"/>
          <w:szCs w:val="24"/>
        </w:rPr>
        <w:t>comprendió</w:t>
      </w:r>
      <w:proofErr w:type="gramEnd"/>
      <w:r>
        <w:rPr>
          <w:rFonts w:ascii="Times New Roman" w:hAnsi="Times New Roman" w:cs="Times New Roman"/>
          <w:color w:val="000000" w:themeColor="text1"/>
          <w:sz w:val="24"/>
          <w:szCs w:val="24"/>
        </w:rPr>
        <w:t xml:space="preserve"> por una parte, el estudio de las formas de trabajo que se emplean en las instituciones y por otra, el análisis del currículo actuante. Este estudio arrojó resultados de trascendencia, por ejemplo, en el caso de las formas de trabajo se llegó a la </w:t>
      </w:r>
      <w:r>
        <w:rPr>
          <w:rFonts w:ascii="Times New Roman" w:hAnsi="Times New Roman" w:cs="Times New Roman"/>
          <w:color w:val="000000" w:themeColor="text1"/>
          <w:sz w:val="24"/>
          <w:szCs w:val="24"/>
        </w:rPr>
        <w:lastRenderedPageBreak/>
        <w:t xml:space="preserve">conclusión de que los estilos de dirección se mantenían “directivos” con poca flexibilidad y poca participación de educandos y familias en la toma de decisiones. </w:t>
      </w:r>
    </w:p>
    <w:p w14:paraId="482F9EE0"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el caso del currículo se comprobó el exceso de horas clases en la medida que se transita por el SNE, desbalance entre las horas clases de ciencias y humanidades, falta de coherencia entre las asignaturas de una misma disciplina y la desactualización de los contenidos.</w:t>
      </w:r>
    </w:p>
    <w:p w14:paraId="65EEE2F8"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Investigación teórica- prospectiva: </w:t>
      </w:r>
      <w:r>
        <w:rPr>
          <w:rFonts w:ascii="Times New Roman" w:hAnsi="Times New Roman" w:cs="Times New Roman"/>
          <w:color w:val="000000" w:themeColor="text1"/>
          <w:sz w:val="24"/>
          <w:szCs w:val="24"/>
        </w:rPr>
        <w:t>En una primera etapa entre 2010 y 2013 se trabajó en la construcción de las bases teórico-metodológicas y legales, documentos esenciales que constituyeron el sostén de todo el trabajo realizado posteriormente, entre ellos: el Documento Base en el cual se recogen los principales sustentos teóricos del proceso, las Metodologías para la elaboración de Planes de Estudio, programas, libros de textos, cuadernos de trabajo y orientaciones metodológicas, etc.</w:t>
      </w:r>
    </w:p>
    <w:p w14:paraId="18863E01" w14:textId="77777777" w:rsidR="00AA6F72" w:rsidRDefault="00000000">
      <w:pPr>
        <w:spacing w:before="24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igual forma, se elaboraron las concepciones de los niveles educativos, de las disciplinas y las relacionadas con los componentes del contenido de la Educación, lo cual permitió una actualización de aspectos esenciales como el Fin y los Objetivos de la Educación y de cada nivel educativo.</w:t>
      </w:r>
    </w:p>
    <w:p w14:paraId="71057424"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Existe una estructura homogénea para la elaboración de los materiales, lo cual constituye un elemento positivo y un rasgo que distingue el actual Perfeccionamiento.</w:t>
      </w:r>
    </w:p>
    <w:p w14:paraId="794589BA"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Fue creado un sistema de herramientas informáticas que permitieron a los autores: hacer un estudio de precedencia de los contenidos; el análisis de la definición de conceptos; y de la presencia en los objetivos de los nueve componentes del contenido de la educación (Nonágono). Estas resultaron de gran valor para la reformulación de los objetivos hasta alcanzar el equilibrio necesario entre las asignaturas de un grado, las disciplinas en un nivel y en general en el sistema educativo.</w:t>
      </w:r>
    </w:p>
    <w:p w14:paraId="7BC1A020" w14:textId="77777777" w:rsidR="00AA6F72" w:rsidRDefault="00000000">
      <w:pPr>
        <w:pStyle w:val="Ttulo3"/>
        <w:spacing w:line="360" w:lineRule="auto"/>
        <w:jc w:val="both"/>
        <w:rPr>
          <w:rFonts w:ascii="Times New Roman" w:hAnsi="Times New Roman" w:cs="Times New Roman"/>
          <w:color w:val="000000" w:themeColor="text1"/>
          <w:u w:val="single"/>
        </w:rPr>
      </w:pPr>
      <w:bookmarkStart w:id="1" w:name="_Toc2767194"/>
      <w:r>
        <w:rPr>
          <w:rFonts w:ascii="Times New Roman" w:hAnsi="Times New Roman" w:cs="Times New Roman"/>
          <w:color w:val="000000" w:themeColor="text1"/>
          <w:u w:val="single"/>
        </w:rPr>
        <w:lastRenderedPageBreak/>
        <w:t>Sobre la modalidad Masiva</w:t>
      </w:r>
      <w:bookmarkEnd w:id="1"/>
    </w:p>
    <w:p w14:paraId="4E28D9B2"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Esta modalidad acumula la información cualitativa y cuantitativa recabada en las 152 instituciones educativas donde tuvo lugar la implementación de las formas de trabajo y de los nuevos materiales para el currículo. Es desarrollada esencialmente por los colectivos pedagógicos, docentes, familias y autoridades a nivel de centro y de los diferentes niveles de dirección.</w:t>
      </w:r>
      <w:bookmarkStart w:id="2" w:name="_Toc2767195"/>
    </w:p>
    <w:p w14:paraId="10345510"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el curso 2014-2015 comenzó a aplicarse la primera etapa de esta modalidad con el experimento de las nuevas formas de trabajo en 68 instituciones educativas de seis provincias del país (La Habana, Pinar del Río, Artemisa, Mayabeque, Villa Clara y Santiago de Cuba), la que comenzó con un diagnóstico empírico para establecer una línea base junto a los resultados del diagnóstico teórico. Estos centros fueron atendidos desde el MINED y el ICCP formando equipos provinciales que apoyaban el trabajo a desarrollar en el experimento. </w:t>
      </w:r>
    </w:p>
    <w:p w14:paraId="42B000A8" w14:textId="77777777" w:rsidR="00AA6F72" w:rsidRDefault="00000000">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cambios en las formas de trabajo consisten en: organizar la institución a partir de un </w:t>
      </w:r>
      <w:r>
        <w:rPr>
          <w:rFonts w:ascii="Times New Roman" w:hAnsi="Times New Roman" w:cs="Times New Roman"/>
          <w:color w:val="000000" w:themeColor="text1"/>
          <w:sz w:val="24"/>
          <w:szCs w:val="24"/>
          <w:u w:val="single"/>
        </w:rPr>
        <w:t>Proyecto Educativo Institucional y de Grupo,</w:t>
      </w:r>
      <w:r>
        <w:rPr>
          <w:rFonts w:ascii="Times New Roman" w:hAnsi="Times New Roman" w:cs="Times New Roman"/>
          <w:color w:val="000000" w:themeColor="text1"/>
          <w:sz w:val="24"/>
          <w:szCs w:val="24"/>
        </w:rPr>
        <w:t xml:space="preserve"> el que debe tener como rasgo fundamental la participación de todos los agentes educativos (directivos, docentes, estudiantes, familia y comunidad) en la organización de la vida de la institución. </w:t>
      </w:r>
      <w:r>
        <w:rPr>
          <w:rFonts w:ascii="Times New Roman" w:hAnsi="Times New Roman" w:cs="Times New Roman"/>
          <w:color w:val="000000" w:themeColor="text1"/>
          <w:sz w:val="24"/>
          <w:szCs w:val="24"/>
          <w:u w:val="single"/>
        </w:rPr>
        <w:t xml:space="preserve">El Trabajo en Red </w:t>
      </w:r>
      <w:r>
        <w:rPr>
          <w:rFonts w:ascii="Times New Roman" w:hAnsi="Times New Roman" w:cs="Times New Roman"/>
          <w:color w:val="000000" w:themeColor="text1"/>
          <w:sz w:val="24"/>
          <w:szCs w:val="24"/>
        </w:rPr>
        <w:t xml:space="preserve">que se desarrolla identificando los centros de recursos en un grupo de instituciones cercanas (Red), comparten los recursos entre las instituciones pertenecientes a la red, los mismos pueden ser humanos, metodológicos, materiales, culturales, entre otros. </w:t>
      </w:r>
      <w:r>
        <w:rPr>
          <w:rFonts w:ascii="Times New Roman" w:hAnsi="Times New Roman" w:cs="Times New Roman"/>
          <w:color w:val="000000" w:themeColor="text1"/>
          <w:sz w:val="24"/>
          <w:szCs w:val="24"/>
          <w:u w:val="single"/>
        </w:rPr>
        <w:t>El trabajo metodológico</w:t>
      </w:r>
      <w:r>
        <w:rPr>
          <w:rFonts w:ascii="Times New Roman" w:hAnsi="Times New Roman" w:cs="Times New Roman"/>
          <w:color w:val="000000" w:themeColor="text1"/>
          <w:sz w:val="24"/>
          <w:szCs w:val="24"/>
        </w:rPr>
        <w:t xml:space="preserve"> que pone en el centro de su contenido los aspectos esenciales de la transformación y los vinculados con el proceso de enseñanza - aprendizaje.</w:t>
      </w:r>
    </w:p>
    <w:p w14:paraId="75160F8F" w14:textId="77777777" w:rsidR="00AA6F72" w:rsidRDefault="00000000">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igual forma, en este primer momento se comenzó a trabajar en </w:t>
      </w:r>
      <w:r>
        <w:rPr>
          <w:rFonts w:ascii="Times New Roman" w:hAnsi="Times New Roman" w:cs="Times New Roman"/>
          <w:color w:val="000000" w:themeColor="text1"/>
          <w:sz w:val="24"/>
          <w:szCs w:val="24"/>
          <w:u w:val="single"/>
        </w:rPr>
        <w:t>la flexibilización curricular</w:t>
      </w:r>
      <w:r>
        <w:rPr>
          <w:rFonts w:ascii="Times New Roman" w:hAnsi="Times New Roman" w:cs="Times New Roman"/>
          <w:color w:val="000000" w:themeColor="text1"/>
          <w:sz w:val="24"/>
          <w:szCs w:val="24"/>
        </w:rPr>
        <w:t>, permitiendo que la institución contextualice y adapte el currículo a sus condiciones.</w:t>
      </w:r>
    </w:p>
    <w:p w14:paraId="6A5FDBAE"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En el curso 2017-2018 se comienza a experimentar la nueva concepción curricular. Un currículo general y obligatorio, que garantiza la unidad del sistema y un currículo institucional que lo puede organizar y </w:t>
      </w:r>
      <w:r>
        <w:rPr>
          <w:rFonts w:ascii="Times New Roman" w:hAnsi="Times New Roman" w:cs="Times New Roman"/>
          <w:bCs/>
          <w:color w:val="000000" w:themeColor="text1"/>
          <w:sz w:val="24"/>
          <w:szCs w:val="24"/>
        </w:rPr>
        <w:lastRenderedPageBreak/>
        <w:t xml:space="preserve">elaborar el centro, que permite su contextualización </w:t>
      </w:r>
      <w:r>
        <w:rPr>
          <w:rFonts w:ascii="Times New Roman" w:eastAsia="Times New Roman" w:hAnsi="Times New Roman" w:cs="Times New Roman"/>
          <w:color w:val="000000" w:themeColor="text1"/>
          <w:sz w:val="24"/>
          <w:szCs w:val="24"/>
        </w:rPr>
        <w:t xml:space="preserve">con la participación de todos los agentes educativos. </w:t>
      </w:r>
      <w:r>
        <w:rPr>
          <w:rFonts w:ascii="Times New Roman" w:hAnsi="Times New Roman" w:cs="Times New Roman"/>
          <w:bCs/>
          <w:color w:val="000000" w:themeColor="text1"/>
          <w:sz w:val="24"/>
          <w:szCs w:val="24"/>
        </w:rPr>
        <w:t>Para ello, se elaboran nuevos materiales, como ya se dijo, que entraron en experimentación junto a las nuevas formas de trabajo.</w:t>
      </w:r>
    </w:p>
    <w:p w14:paraId="7A7B906D" w14:textId="77777777" w:rsidR="00AA6F72"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la segunda etapa de experimentación en el curso 2017- 2018 se decide extender las formas de trabajo a todas las provincias del país, que abarcó entonces 152 centros, uno de cada nivel educativo, ubicados en 41 consejos populares de 21 municipios, en particular de los municipios cabeceras en las diferentes provincias del país, incluido el municipio especial Isla de la Juventud. La matrícula total de educandos en las instituciones en experimento era de 62190, que representan el 3,7% del total del país</w:t>
      </w:r>
      <w:r>
        <w:rPr>
          <w:rFonts w:ascii="Times New Roman" w:hAnsi="Times New Roman" w:cs="Times New Roman"/>
          <w:bCs/>
          <w:color w:val="000000" w:themeColor="text1"/>
          <w:sz w:val="24"/>
          <w:szCs w:val="24"/>
        </w:rPr>
        <w:t>. De los centros experimentales,</w:t>
      </w:r>
      <w:r>
        <w:rPr>
          <w:rFonts w:ascii="Times New Roman" w:hAnsi="Times New Roman" w:cs="Times New Roman"/>
          <w:color w:val="000000" w:themeColor="text1"/>
          <w:sz w:val="24"/>
          <w:szCs w:val="24"/>
        </w:rPr>
        <w:t xml:space="preserve"> 11, corresponden al sector rural para un 7,2%. Para este sector se elaboran materiales específicos que constituyen un importante apoyo para los docentes que laboran en el multigrado.</w:t>
      </w:r>
    </w:p>
    <w:p w14:paraId="7160AD37"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Desde 2014 y hasta el 2020, se desarrolla el seguimiento a las instituciones experimentales a partir de un sistema de visitas, realizadas por los investigadores y las estructuras de los diferentes niveles de dirección. Los instrumentos de evaluación de las dimensiones, en su triangulación, favorecen la dirección científica del proceso de transformación educativa. Se realizan cortes en el mes de marzo de cada curso escolar.</w:t>
      </w:r>
    </w:p>
    <w:p w14:paraId="24E20E7E" w14:textId="77777777" w:rsidR="00AA6F72" w:rsidRDefault="0000000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RESULTADOS Y DISCUSIÓN</w:t>
      </w:r>
    </w:p>
    <w:p w14:paraId="0F52C6D3" w14:textId="77777777" w:rsidR="00AA6F72"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el </w:t>
      </w:r>
      <w:r>
        <w:rPr>
          <w:rFonts w:ascii="Times New Roman" w:hAnsi="Times New Roman" w:cs="Times New Roman"/>
          <w:color w:val="000000" w:themeColor="text1"/>
          <w:sz w:val="24"/>
          <w:szCs w:val="24"/>
          <w:u w:val="single"/>
        </w:rPr>
        <w:t>corte masivo</w:t>
      </w:r>
      <w:r>
        <w:rPr>
          <w:rFonts w:ascii="Times New Roman" w:hAnsi="Times New Roman" w:cs="Times New Roman"/>
          <w:color w:val="000000" w:themeColor="text1"/>
          <w:sz w:val="24"/>
          <w:szCs w:val="24"/>
        </w:rPr>
        <w:t xml:space="preserve"> se realiza una exploración generalizada donde se puedan detectar los fenómenos que están caracterizando el proceso de transformación.</w:t>
      </w:r>
    </w:p>
    <w:p w14:paraId="75A25854" w14:textId="77777777" w:rsidR="00AA6F72" w:rsidRDefault="00000000">
      <w:pPr>
        <w:tabs>
          <w:tab w:val="left" w:pos="709"/>
        </w:tabs>
        <w:spacing w:before="240" w:line="360" w:lineRule="auto"/>
        <w:ind w:right="4"/>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E</w:t>
      </w:r>
      <w:r>
        <w:rPr>
          <w:rFonts w:ascii="Times New Roman" w:hAnsi="Times New Roman" w:cs="Times New Roman"/>
          <w:color w:val="000000" w:themeColor="text1"/>
          <w:sz w:val="24"/>
          <w:szCs w:val="24"/>
        </w:rPr>
        <w:t>n 101 de los 152 centros (66,4%) en los que se extendió la modalidad masiva en el curso 2017- 2018 también se experimentaron los nuevos planes de estudio en Primera infancia, Primaria, Secundaria Básica, Preuniversitario y de Especial en centros seleccionados de la especialidad Discapacidad intelectual, implicando a 894 docentes y 13 939 educandos que se ubicaban en 486 grupos escolares.</w:t>
      </w:r>
    </w:p>
    <w:p w14:paraId="702379E3" w14:textId="77777777" w:rsidR="00AA6F72" w:rsidRDefault="00000000">
      <w:pPr>
        <w:tabs>
          <w:tab w:val="left" w:pos="709"/>
        </w:tabs>
        <w:spacing w:before="240" w:line="360" w:lineRule="auto"/>
        <w:ind w:right="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En los tres primeros años y luego en 13 de los 16 territorios del país se mantuvo el corte masivo. En estas provincias para valorar el aprendizaje de los educandos se tuvieron en cuenta los resultados alcanzados en el segundo corte evaluativo, tal como establecía la resolución de evaluación (RM 306/14). De igual forma se haría otro análisis en la última semana de mayo.</w:t>
      </w:r>
    </w:p>
    <w:p w14:paraId="1C07DE8C"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u w:val="single"/>
        </w:rPr>
        <w:t>Sobre la modalidad de P</w:t>
      </w:r>
      <w:r>
        <w:rPr>
          <w:rFonts w:ascii="Times New Roman" w:hAnsi="Times New Roman" w:cs="Times New Roman"/>
          <w:bCs/>
          <w:color w:val="000000" w:themeColor="text1"/>
          <w:sz w:val="24"/>
          <w:szCs w:val="24"/>
          <w:u w:val="single"/>
        </w:rPr>
        <w:t>rofundización</w:t>
      </w:r>
      <w:r>
        <w:rPr>
          <w:rFonts w:ascii="Times New Roman" w:hAnsi="Times New Roman" w:cs="Times New Roman"/>
          <w:color w:val="000000" w:themeColor="text1"/>
          <w:sz w:val="24"/>
          <w:szCs w:val="24"/>
          <w:u w:val="single"/>
        </w:rPr>
        <w:t>.</w:t>
      </w:r>
      <w:bookmarkEnd w:id="2"/>
    </w:p>
    <w:p w14:paraId="74F155AE" w14:textId="77777777" w:rsidR="00AA6F72" w:rsidRDefault="00000000">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Atendiendo a la extensión y complejidad del estudio masivo (experimentación) se vio la necesidad de incluir una modalidad de </w:t>
      </w:r>
      <w:r>
        <w:rPr>
          <w:rFonts w:ascii="Times New Roman" w:hAnsi="Times New Roman" w:cs="Times New Roman"/>
          <w:color w:val="000000" w:themeColor="text1"/>
          <w:sz w:val="24"/>
          <w:szCs w:val="24"/>
          <w:u w:val="single"/>
        </w:rPr>
        <w:t>profundización</w:t>
      </w:r>
      <w:r>
        <w:rPr>
          <w:rFonts w:ascii="Times New Roman" w:hAnsi="Times New Roman" w:cs="Times New Roman"/>
          <w:color w:val="000000" w:themeColor="text1"/>
          <w:sz w:val="24"/>
          <w:szCs w:val="24"/>
        </w:rPr>
        <w:t xml:space="preserve"> y para ello se seleccionaron las 28 instituciones educativas experimentales de tres provincias del país: La Habana, Santiago de Cuba y Camagüey, para ello se establecieron criterios de selección. Las dos primeras venían experimentando desde 2014.</w:t>
      </w:r>
    </w:p>
    <w:p w14:paraId="6970F695"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profundización permite al equipo nacional del experimento hacer un seguimiento controlado y detallado, en determinados aspectos de la implementación y en la búsqueda de información en un número limitado de centros, con instrumentos cualitativos y profundizando en aquellos aspectos críticos, buscando posibles causas. Esta modalidad se aplicó consecutivamente en el mes de marzo desde 2018 a 2020, en las provincias: La Habana, Camagüey y Santiago de Cuba. </w:t>
      </w:r>
    </w:p>
    <w:p w14:paraId="2DB0B46E" w14:textId="77777777" w:rsidR="00AA6F72" w:rsidRDefault="00000000">
      <w:pPr>
        <w:spacing w:before="240" w:line="360" w:lineRule="auto"/>
        <w:jc w:val="both"/>
        <w:rPr>
          <w:rFonts w:ascii="Times New Roman" w:hAnsi="Times New Roman" w:cs="Times New Roman"/>
          <w:bCs/>
          <w:color w:val="000000" w:themeColor="text1"/>
          <w:sz w:val="24"/>
          <w:szCs w:val="24"/>
        </w:rPr>
      </w:pPr>
      <w:bookmarkStart w:id="3" w:name="_Toc2767196"/>
      <w:r>
        <w:rPr>
          <w:rFonts w:ascii="Times New Roman" w:hAnsi="Times New Roman" w:cs="Times New Roman"/>
          <w:bCs/>
          <w:color w:val="000000" w:themeColor="text1"/>
          <w:sz w:val="24"/>
          <w:szCs w:val="24"/>
        </w:rPr>
        <w:t>Los principales resultados permitieron establecer comparaciones entre las provincias continuantes (primeras seis) y las nuevas, así como entre la modalidad masiva y la profundización.</w:t>
      </w:r>
    </w:p>
    <w:p w14:paraId="6F06B4ED" w14:textId="77777777" w:rsidR="00AA6F72"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Una estrategia importante en la investigación masiva y de profundización son los procesos de autoevaluación, que ha constituido un elemento regulador del cambio permitiendo preparar, ejercitar y lograr mayor objetividad en la valoración de los fenómenos educacionales por los protagonistas principales.</w:t>
      </w:r>
    </w:p>
    <w:p w14:paraId="6F57E78C" w14:textId="77777777" w:rsidR="00AA6F72" w:rsidRDefault="00000000">
      <w:pPr>
        <w:spacing w:before="240" w:line="36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Sobre la modalidad de Consulta</w:t>
      </w:r>
      <w:bookmarkEnd w:id="3"/>
    </w:p>
    <w:p w14:paraId="1A5AE504"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La investigación de </w:t>
      </w:r>
      <w:r>
        <w:rPr>
          <w:rFonts w:ascii="Times New Roman" w:hAnsi="Times New Roman" w:cs="Times New Roman"/>
          <w:color w:val="000000" w:themeColor="text1"/>
          <w:sz w:val="24"/>
          <w:szCs w:val="24"/>
          <w:u w:val="single"/>
        </w:rPr>
        <w:t>consulta</w:t>
      </w:r>
      <w:r>
        <w:rPr>
          <w:rFonts w:ascii="Times New Roman" w:hAnsi="Times New Roman" w:cs="Times New Roman"/>
          <w:color w:val="000000" w:themeColor="text1"/>
          <w:sz w:val="24"/>
          <w:szCs w:val="24"/>
        </w:rPr>
        <w:t xml:space="preserve"> se comienza a desarrollar a partir del curso escolar 2016- 2017 cuando se cuenta con las primeras versiones de los nuevos materiales, o sea, planes de estudio, programas, libros de texto, orientaciones metodológicas y cuadernos de trabajo. Se continúan explorando también junto a los nuevos materiales las nuevas formas de trabajo. </w:t>
      </w:r>
    </w:p>
    <w:p w14:paraId="2C10875F"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inicia entonces el desarrollo de dos vertientes de esta investigación de consulta: la interna y la externa. La primera se realiza al interior del MINED y para ello se recogen opiniones de directivos, docentes, familias, educandos, y representantes de las comunidades donde están enclavados los centros experimentales. La segunda se realiza con representantes de los distintos organismos, instituciones y organizaciones de la sociedad, por ejemplo, La Academia de Ciencias de Cuba, MINSAP, INDER, CENESEX, Fundación Alejo Carpentier, etc. A estos se les exponen los elementos más importantes y los resultados que se van obteniendo para oír y debatir opiniones y se hizo una vez al año.</w:t>
      </w:r>
    </w:p>
    <w:p w14:paraId="112614D7"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Esta modalidad ha constituido un rasgo distintivo del actual proceso de Perfeccionamiento, pues ha permitido socializar los resultados obtenidos, además de contar con criterios de altos especialistas del país de las diferentes ciencias y saberes.</w:t>
      </w:r>
    </w:p>
    <w:p w14:paraId="7CFA40F6"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Se realizaron cuatro consultas a 42 organismos, organizaciones e instituciones en las que han participado los máximos representes de cada una y en la que han expresado diversos criterios sobre todo el proceso. </w:t>
      </w:r>
      <w:bookmarkStart w:id="4" w:name="_Toc2767197"/>
      <w:r>
        <w:rPr>
          <w:rFonts w:ascii="Times New Roman" w:hAnsi="Times New Roman" w:cs="Times New Roman"/>
          <w:bCs/>
          <w:color w:val="000000" w:themeColor="text1"/>
          <w:sz w:val="24"/>
          <w:szCs w:val="24"/>
        </w:rPr>
        <w:t xml:space="preserve">En el desarrollo de la consulta interna para el seguimiento a los materiales (Planes, programas, libros de texto, orientaciones metodológicas y cuadernos de trabajo) se han utilizado dos Cuadernos (el 1 y el 2) para recoger la información. </w:t>
      </w:r>
    </w:p>
    <w:p w14:paraId="279B1ACD"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u w:val="single"/>
        </w:rPr>
        <w:t>Sobre la modalidad por Encargos</w:t>
      </w:r>
      <w:bookmarkEnd w:id="4"/>
    </w:p>
    <w:p w14:paraId="045FE0A6"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investigación </w:t>
      </w:r>
      <w:r>
        <w:rPr>
          <w:rFonts w:ascii="Times New Roman" w:hAnsi="Times New Roman" w:cs="Times New Roman"/>
          <w:color w:val="000000" w:themeColor="text1"/>
          <w:sz w:val="24"/>
          <w:szCs w:val="24"/>
          <w:u w:val="single"/>
        </w:rPr>
        <w:t>por encargo</w:t>
      </w:r>
      <w:r>
        <w:rPr>
          <w:rFonts w:ascii="Times New Roman" w:hAnsi="Times New Roman" w:cs="Times New Roman"/>
          <w:color w:val="000000" w:themeColor="text1"/>
          <w:sz w:val="24"/>
          <w:szCs w:val="24"/>
        </w:rPr>
        <w:t xml:space="preserve"> surge a partir de la necesidad de investigar con más rigor algunos puntos críticos que se ponen de manifiesto tanto en la investigación masiva como en la de profundización. Se utiliza también como una potencialidad la existencia de un Consejo Técnico Asesor del MINED donde </w:t>
      </w:r>
      <w:r>
        <w:rPr>
          <w:rFonts w:ascii="Times New Roman" w:hAnsi="Times New Roman" w:cs="Times New Roman"/>
          <w:color w:val="000000" w:themeColor="text1"/>
          <w:sz w:val="24"/>
          <w:szCs w:val="24"/>
        </w:rPr>
        <w:lastRenderedPageBreak/>
        <w:t>hay representantes de las comunidades científicas de las diferentes provincias. Se les encarga entonces a estos investigadores en consulta con sus instituciones, que desarrollen esas investigaciones importantes para lograr más información y permita a la dirección de la investigación asumir una toma de decisiones más eficiente.</w:t>
      </w:r>
    </w:p>
    <w:p w14:paraId="6D3A004B" w14:textId="77777777" w:rsidR="00AA6F72" w:rsidRDefault="00000000">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Esta modalidad atiende al seguimiento que se realiza por encargos a los </w:t>
      </w:r>
      <w:r>
        <w:rPr>
          <w:rFonts w:ascii="Times New Roman" w:hAnsi="Times New Roman" w:cs="Times New Roman"/>
          <w:b/>
          <w:bCs/>
          <w:color w:val="000000" w:themeColor="text1"/>
          <w:sz w:val="24"/>
          <w:szCs w:val="24"/>
        </w:rPr>
        <w:t xml:space="preserve">miembros del Consejo Técnico Asesor </w:t>
      </w:r>
      <w:r>
        <w:rPr>
          <w:rFonts w:ascii="Times New Roman" w:hAnsi="Times New Roman" w:cs="Times New Roman"/>
          <w:color w:val="000000" w:themeColor="text1"/>
          <w:sz w:val="24"/>
          <w:szCs w:val="24"/>
        </w:rPr>
        <w:t xml:space="preserve">o al control detallado del uso de los materiales elaborados y el desarrollo del proceso docente por estos o por miembros del </w:t>
      </w:r>
      <w:r>
        <w:rPr>
          <w:rFonts w:ascii="Times New Roman" w:hAnsi="Times New Roman" w:cs="Times New Roman"/>
          <w:b/>
          <w:bCs/>
          <w:color w:val="000000" w:themeColor="text1"/>
          <w:sz w:val="24"/>
          <w:szCs w:val="24"/>
        </w:rPr>
        <w:t xml:space="preserve">Grupo de Trabajo Intensivo </w:t>
      </w:r>
      <w:r>
        <w:rPr>
          <w:rFonts w:ascii="Times New Roman" w:hAnsi="Times New Roman" w:cs="Times New Roman"/>
          <w:color w:val="000000" w:themeColor="text1"/>
          <w:sz w:val="24"/>
          <w:szCs w:val="24"/>
        </w:rPr>
        <w:t xml:space="preserve">u otro </w:t>
      </w:r>
      <w:r>
        <w:rPr>
          <w:rFonts w:ascii="Times New Roman" w:hAnsi="Times New Roman" w:cs="Times New Roman"/>
          <w:b/>
          <w:bCs/>
          <w:color w:val="000000" w:themeColor="text1"/>
          <w:sz w:val="24"/>
          <w:szCs w:val="24"/>
        </w:rPr>
        <w:t>personal designado</w:t>
      </w:r>
      <w:r>
        <w:rPr>
          <w:rFonts w:ascii="Times New Roman" w:hAnsi="Times New Roman" w:cs="Times New Roman"/>
          <w:color w:val="000000" w:themeColor="text1"/>
          <w:sz w:val="24"/>
          <w:szCs w:val="24"/>
        </w:rPr>
        <w:t>. Se apoya en las informaciones de la modalidad masiva y la recopilada en los referidos centros para explorar, mediante técnicas cualitativas o específicas, el complejo proceso de cambio educativo.</w:t>
      </w:r>
    </w:p>
    <w:p w14:paraId="652A1BBB" w14:textId="77777777" w:rsidR="00AA6F72" w:rsidRDefault="00000000">
      <w:pPr>
        <w:spacing w:before="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Participaron especialistas de otros organismos, fundamentalmente del Ministerio de Educación Superior (MES). Constituyen proyectos de investigación y por tanto responden a tareas de investigación. </w:t>
      </w:r>
      <w:r>
        <w:rPr>
          <w:rFonts w:ascii="Times New Roman" w:hAnsi="Times New Roman" w:cs="Times New Roman"/>
          <w:color w:val="000000" w:themeColor="text1"/>
          <w:sz w:val="24"/>
          <w:szCs w:val="24"/>
        </w:rPr>
        <w:t xml:space="preserve">Los equipos provinciales del perfeccionamiento establecieron un control sobre los encargos asignados al territorio. </w:t>
      </w:r>
      <w:r>
        <w:rPr>
          <w:rFonts w:ascii="Times New Roman" w:hAnsi="Times New Roman" w:cs="Times New Roman"/>
          <w:bCs/>
          <w:color w:val="000000" w:themeColor="text1"/>
          <w:sz w:val="24"/>
          <w:szCs w:val="24"/>
        </w:rPr>
        <w:t xml:space="preserve">Como contenidos los Encargos tienen: las disciplinas, los componentes del contenido de la educación </w:t>
      </w:r>
      <w:bookmarkStart w:id="5" w:name="_Toc2767198"/>
      <w:r>
        <w:rPr>
          <w:rFonts w:ascii="Times New Roman" w:hAnsi="Times New Roman" w:cs="Times New Roman"/>
          <w:bCs/>
          <w:color w:val="000000" w:themeColor="text1"/>
          <w:sz w:val="24"/>
          <w:szCs w:val="24"/>
        </w:rPr>
        <w:t>y las nuevas formas de trabajo.</w:t>
      </w:r>
    </w:p>
    <w:p w14:paraId="1B76B0B9" w14:textId="77777777" w:rsidR="00AA6F72" w:rsidRDefault="00000000">
      <w:pPr>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En las reuniones del Consejo Técnico Asesor se orientan, concilian y presentan los resultados más importantes de los encargos. En algunas de estas presentaciones fueron invitados los responsables de los colectivos de autores quienes intercambiaron con los especialistas, enmendando los materiales a partir de los criterios recibidos. </w:t>
      </w:r>
      <w:r>
        <w:rPr>
          <w:rFonts w:ascii="Times New Roman" w:hAnsi="Times New Roman" w:cs="Times New Roman"/>
          <w:color w:val="000000" w:themeColor="text1"/>
          <w:sz w:val="24"/>
          <w:szCs w:val="24"/>
        </w:rPr>
        <w:t>En todas las modalidades han participado diferentes agentes socializadores de la investigación que se llevó a cabo.</w:t>
      </w:r>
    </w:p>
    <w:bookmarkEnd w:id="5"/>
    <w:p w14:paraId="3366703D" w14:textId="77777777" w:rsidR="00AA6F72"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7BECB57D" w14:textId="77777777" w:rsidR="00AA6F72" w:rsidRDefault="00000000">
      <w:pPr>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Las investigaciones en el campo de la Educación en sentido general son de naturaleza compleja, pero cuando se trata de las transformaciones que deben sufrir los sistemas educativos, entonces estas son aún más difíciles de explicar y de llevar a cabo. En esta investigación que nos ocupa han participado decenas de profesores y maestros, así como un grupo considerable de investigadores, todos ellos con la intención </w:t>
      </w:r>
      <w:r>
        <w:rPr>
          <w:rFonts w:ascii="Times New Roman" w:eastAsia="Calibri" w:hAnsi="Times New Roman" w:cs="Times New Roman"/>
          <w:color w:val="000000" w:themeColor="text1"/>
          <w:sz w:val="24"/>
          <w:szCs w:val="24"/>
        </w:rPr>
        <w:lastRenderedPageBreak/>
        <w:t xml:space="preserve">de mejorar la calidad de los servicios educativos en Cuba. Algunos de los tipos de investigación utilizados se han llevado a cabo por primera vez en la transformación de un Sistema Educativo, tales son los casos de la masiva y la de profundización donde juega un papel esencial la experimentación. De </w:t>
      </w:r>
      <w:proofErr w:type="gramStart"/>
      <w:r>
        <w:rPr>
          <w:rFonts w:ascii="Times New Roman" w:eastAsia="Calibri" w:hAnsi="Times New Roman" w:cs="Times New Roman"/>
          <w:color w:val="000000" w:themeColor="text1"/>
          <w:sz w:val="24"/>
          <w:szCs w:val="24"/>
        </w:rPr>
        <w:t>igual  forma</w:t>
      </w:r>
      <w:proofErr w:type="gramEnd"/>
      <w:r>
        <w:rPr>
          <w:rFonts w:ascii="Times New Roman" w:eastAsia="Calibri" w:hAnsi="Times New Roman" w:cs="Times New Roman"/>
          <w:color w:val="000000" w:themeColor="text1"/>
          <w:sz w:val="24"/>
          <w:szCs w:val="24"/>
        </w:rPr>
        <w:t>, la investigación de consulta y la de por encargos se han utilizado por primera vez en nuestro país con buenos resultados.</w:t>
      </w:r>
    </w:p>
    <w:p w14:paraId="42FB7ABD" w14:textId="77777777" w:rsidR="00AA6F72"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44A08817"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Cerezal, J; </w:t>
      </w:r>
      <w:proofErr w:type="spellStart"/>
      <w:proofErr w:type="gramStart"/>
      <w:r>
        <w:rPr>
          <w:rFonts w:ascii="Times New Roman" w:hAnsi="Times New Roman" w:cs="Times New Roman"/>
          <w:color w:val="000000" w:themeColor="text1"/>
          <w:sz w:val="24"/>
          <w:szCs w:val="24"/>
        </w:rPr>
        <w:t>Fiallo,J</w:t>
      </w:r>
      <w:proofErr w:type="spellEnd"/>
      <w:proofErr w:type="gramEnd"/>
      <w:r>
        <w:rPr>
          <w:rFonts w:ascii="Times New Roman" w:hAnsi="Times New Roman" w:cs="Times New Roman"/>
          <w:color w:val="000000" w:themeColor="text1"/>
          <w:sz w:val="24"/>
          <w:szCs w:val="24"/>
        </w:rPr>
        <w:t xml:space="preserve"> (2004). </w:t>
      </w:r>
      <w:r>
        <w:rPr>
          <w:rFonts w:ascii="Times New Roman" w:hAnsi="Times New Roman" w:cs="Times New Roman"/>
          <w:i/>
          <w:iCs/>
          <w:color w:val="000000" w:themeColor="text1"/>
          <w:sz w:val="24"/>
          <w:szCs w:val="24"/>
        </w:rPr>
        <w:t>Cómo investigar en Pedagogía. Editorial Pueblo y Educación</w:t>
      </w:r>
      <w:r>
        <w:rPr>
          <w:rFonts w:ascii="Times New Roman" w:hAnsi="Times New Roman" w:cs="Times New Roman"/>
          <w:color w:val="000000" w:themeColor="text1"/>
          <w:sz w:val="24"/>
          <w:szCs w:val="24"/>
        </w:rPr>
        <w:t xml:space="preserve">. La Habana. </w:t>
      </w:r>
    </w:p>
    <w:p w14:paraId="5D91B59E"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Colectivo de autores (2016) </w:t>
      </w:r>
      <w:r>
        <w:rPr>
          <w:rFonts w:ascii="Times New Roman" w:hAnsi="Times New Roman" w:cs="Times New Roman"/>
          <w:i/>
          <w:iCs/>
          <w:color w:val="000000" w:themeColor="text1"/>
          <w:sz w:val="24"/>
          <w:szCs w:val="24"/>
        </w:rPr>
        <w:t>Propuestas para la transformación educativa de las instituciones y modalidades educativas.</w:t>
      </w:r>
      <w:r>
        <w:rPr>
          <w:rFonts w:ascii="Times New Roman" w:hAnsi="Times New Roman" w:cs="Times New Roman"/>
          <w:color w:val="000000" w:themeColor="text1"/>
          <w:sz w:val="24"/>
          <w:szCs w:val="24"/>
        </w:rPr>
        <w:t xml:space="preserve"> ICCP. Material digital</w:t>
      </w:r>
    </w:p>
    <w:p w14:paraId="39F15161"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García, L. y otros (1997).</w:t>
      </w:r>
      <w:r>
        <w:rPr>
          <w:rFonts w:ascii="Times New Roman" w:hAnsi="Times New Roman" w:cs="Times New Roman"/>
          <w:i/>
          <w:iCs/>
          <w:color w:val="000000" w:themeColor="text1"/>
          <w:sz w:val="24"/>
          <w:szCs w:val="24"/>
        </w:rPr>
        <w:t xml:space="preserve"> Los retos del cambio educativo.</w:t>
      </w:r>
      <w:r>
        <w:rPr>
          <w:rFonts w:ascii="Times New Roman" w:hAnsi="Times New Roman" w:cs="Times New Roman"/>
          <w:color w:val="000000" w:themeColor="text1"/>
          <w:sz w:val="24"/>
          <w:szCs w:val="24"/>
        </w:rPr>
        <w:t xml:space="preserve"> Editorial Pueblo y Educación, La Habana.</w:t>
      </w:r>
    </w:p>
    <w:p w14:paraId="79CBCE0D"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García, S y otros (2020). </w:t>
      </w:r>
      <w:r>
        <w:rPr>
          <w:rFonts w:ascii="Times New Roman" w:hAnsi="Times New Roman" w:cs="Times New Roman"/>
          <w:i/>
          <w:iCs/>
          <w:color w:val="000000" w:themeColor="text1"/>
          <w:sz w:val="24"/>
          <w:szCs w:val="24"/>
        </w:rPr>
        <w:t>Informe del estudio de profundización</w:t>
      </w:r>
      <w:r>
        <w:rPr>
          <w:rFonts w:ascii="Times New Roman" w:hAnsi="Times New Roman" w:cs="Times New Roman"/>
          <w:color w:val="000000" w:themeColor="text1"/>
          <w:sz w:val="24"/>
          <w:szCs w:val="24"/>
        </w:rPr>
        <w:t xml:space="preserve">. La Habana. ICCP </w:t>
      </w:r>
    </w:p>
    <w:p w14:paraId="1AACC46F"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MINED (2013). </w:t>
      </w:r>
      <w:r>
        <w:rPr>
          <w:rFonts w:ascii="Times New Roman" w:hAnsi="Times New Roman" w:cs="Times New Roman"/>
          <w:i/>
          <w:iCs/>
          <w:color w:val="000000" w:themeColor="text1"/>
          <w:sz w:val="24"/>
          <w:szCs w:val="24"/>
        </w:rPr>
        <w:t>Bases Generales para el perfeccionamiento del Sistema nacional de educación. La Habana</w:t>
      </w:r>
      <w:r>
        <w:rPr>
          <w:rFonts w:ascii="Times New Roman" w:hAnsi="Times New Roman" w:cs="Times New Roman"/>
          <w:color w:val="000000" w:themeColor="text1"/>
          <w:sz w:val="24"/>
          <w:szCs w:val="24"/>
        </w:rPr>
        <w:t>.</w:t>
      </w:r>
    </w:p>
    <w:p w14:paraId="70F8859A"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Navarro, S, Valle; A. y otros (2017). </w:t>
      </w:r>
      <w:r>
        <w:rPr>
          <w:rFonts w:ascii="Times New Roman" w:hAnsi="Times New Roman" w:cs="Times New Roman"/>
          <w:i/>
          <w:iCs/>
          <w:color w:val="000000" w:themeColor="text1"/>
          <w:sz w:val="24"/>
          <w:szCs w:val="24"/>
        </w:rPr>
        <w:t xml:space="preserve">La generalización de los resultados en el III Perfeccionamiento del SNE. </w:t>
      </w:r>
      <w:r>
        <w:rPr>
          <w:rFonts w:ascii="Times New Roman" w:hAnsi="Times New Roman" w:cs="Times New Roman"/>
          <w:color w:val="000000" w:themeColor="text1"/>
          <w:sz w:val="24"/>
          <w:szCs w:val="24"/>
        </w:rPr>
        <w:t>ICCP.  Material digital</w:t>
      </w:r>
    </w:p>
    <w:p w14:paraId="092A5664"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Pérez, Gastón (1986). </w:t>
      </w:r>
      <w:r>
        <w:rPr>
          <w:rFonts w:ascii="Times New Roman" w:hAnsi="Times New Roman" w:cs="Times New Roman"/>
          <w:i/>
          <w:iCs/>
          <w:color w:val="000000" w:themeColor="text1"/>
          <w:sz w:val="24"/>
          <w:szCs w:val="24"/>
        </w:rPr>
        <w:t>Metodología de la investigación educacional.</w:t>
      </w:r>
      <w:r>
        <w:rPr>
          <w:rFonts w:ascii="Times New Roman" w:hAnsi="Times New Roman" w:cs="Times New Roman"/>
          <w:color w:val="000000" w:themeColor="text1"/>
          <w:sz w:val="24"/>
          <w:szCs w:val="24"/>
        </w:rPr>
        <w:t xml:space="preserve"> Editorial Pueblo y Educación La Habana.</w:t>
      </w:r>
    </w:p>
    <w:p w14:paraId="3840EE1B"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Ricoo</w:t>
      </w:r>
      <w:proofErr w:type="spellEnd"/>
      <w:r>
        <w:rPr>
          <w:rFonts w:ascii="Times New Roman" w:hAnsi="Times New Roman" w:cs="Times New Roman"/>
          <w:color w:val="000000" w:themeColor="text1"/>
          <w:sz w:val="24"/>
          <w:szCs w:val="24"/>
        </w:rPr>
        <w:t xml:space="preserve">, P. y otros (2012). </w:t>
      </w:r>
      <w:r>
        <w:rPr>
          <w:rFonts w:ascii="Times New Roman" w:hAnsi="Times New Roman" w:cs="Times New Roman"/>
          <w:i/>
          <w:iCs/>
          <w:color w:val="000000" w:themeColor="text1"/>
          <w:sz w:val="24"/>
          <w:szCs w:val="24"/>
        </w:rPr>
        <w:t>La escuela de Educación General. Perspectivas y Proyecciones</w:t>
      </w:r>
      <w:r>
        <w:rPr>
          <w:rFonts w:ascii="Times New Roman" w:hAnsi="Times New Roman" w:cs="Times New Roman"/>
          <w:color w:val="000000" w:themeColor="text1"/>
          <w:sz w:val="24"/>
          <w:szCs w:val="24"/>
        </w:rPr>
        <w:t xml:space="preserve">. La Habana. ICCP. </w:t>
      </w:r>
    </w:p>
    <w:p w14:paraId="2DFB48FE"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Ruiz Aguilera, A (2007) </w:t>
      </w:r>
      <w:r>
        <w:rPr>
          <w:rFonts w:ascii="Times New Roman" w:hAnsi="Times New Roman" w:cs="Times New Roman"/>
          <w:i/>
          <w:iCs/>
          <w:color w:val="000000" w:themeColor="text1"/>
          <w:sz w:val="24"/>
          <w:szCs w:val="24"/>
        </w:rPr>
        <w:t>Teoría y práctica del diseño curricula</w:t>
      </w:r>
      <w:r>
        <w:rPr>
          <w:rFonts w:ascii="Times New Roman" w:hAnsi="Times New Roman" w:cs="Times New Roman"/>
          <w:color w:val="000000" w:themeColor="text1"/>
          <w:sz w:val="24"/>
          <w:szCs w:val="24"/>
        </w:rPr>
        <w:t>r, Editorial Pueblo y Educación, C. de La Habana, Cuba.</w:t>
      </w:r>
    </w:p>
    <w:p w14:paraId="1C2C012E"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Valle Lima, A. D (2012). </w:t>
      </w:r>
      <w:r>
        <w:rPr>
          <w:rFonts w:ascii="Times New Roman" w:hAnsi="Times New Roman" w:cs="Times New Roman"/>
          <w:i/>
          <w:iCs/>
          <w:color w:val="000000" w:themeColor="text1"/>
          <w:sz w:val="24"/>
          <w:szCs w:val="24"/>
        </w:rPr>
        <w:t>La investigación pedagógica. Otra Mirada.</w:t>
      </w:r>
      <w:r>
        <w:rPr>
          <w:rFonts w:ascii="Times New Roman" w:hAnsi="Times New Roman" w:cs="Times New Roman"/>
          <w:color w:val="000000" w:themeColor="text1"/>
          <w:sz w:val="24"/>
          <w:szCs w:val="24"/>
        </w:rPr>
        <w:t xml:space="preserve"> Editorial Pueblo y Educación. </w:t>
      </w:r>
    </w:p>
    <w:p w14:paraId="5F36116F"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Valle Lima, A. D. y otros (2007) </w:t>
      </w:r>
      <w:r>
        <w:rPr>
          <w:rFonts w:ascii="Times New Roman" w:hAnsi="Times New Roman" w:cs="Times New Roman"/>
          <w:i/>
          <w:iCs/>
          <w:color w:val="000000" w:themeColor="text1"/>
          <w:sz w:val="24"/>
          <w:szCs w:val="24"/>
        </w:rPr>
        <w:t>Dirección, Organización e Higiene escolar.</w:t>
      </w:r>
      <w:r>
        <w:rPr>
          <w:rFonts w:ascii="Times New Roman" w:hAnsi="Times New Roman" w:cs="Times New Roman"/>
          <w:color w:val="000000" w:themeColor="text1"/>
          <w:sz w:val="24"/>
          <w:szCs w:val="24"/>
        </w:rPr>
        <w:t xml:space="preserve"> Editorial Pueblo y Educación. </w:t>
      </w:r>
    </w:p>
    <w:p w14:paraId="3847B35B"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Valle Lima, Alberto D. </w:t>
      </w:r>
      <w:r>
        <w:rPr>
          <w:rFonts w:ascii="Times New Roman" w:hAnsi="Times New Roman" w:cs="Times New Roman"/>
          <w:i/>
          <w:iCs/>
          <w:color w:val="000000" w:themeColor="text1"/>
          <w:sz w:val="24"/>
          <w:szCs w:val="24"/>
        </w:rPr>
        <w:t xml:space="preserve">Algunas consideraciones sobre la transformación de la escuela actual. </w:t>
      </w:r>
      <w:r>
        <w:rPr>
          <w:rFonts w:ascii="Times New Roman" w:hAnsi="Times New Roman" w:cs="Times New Roman"/>
          <w:color w:val="000000" w:themeColor="text1"/>
          <w:sz w:val="24"/>
          <w:szCs w:val="24"/>
        </w:rPr>
        <w:t>En: Compendio de Pedagogía, Editorial Pueblo y Educación, La Habana, 2002.</w:t>
      </w:r>
    </w:p>
    <w:p w14:paraId="31B87058"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Valle, A. y otros (2003). </w:t>
      </w:r>
      <w:r>
        <w:rPr>
          <w:rFonts w:ascii="Times New Roman" w:hAnsi="Times New Roman" w:cs="Times New Roman"/>
          <w:i/>
          <w:iCs/>
          <w:color w:val="000000" w:themeColor="text1"/>
          <w:sz w:val="24"/>
          <w:szCs w:val="24"/>
        </w:rPr>
        <w:t>La transformación educativa. Editorial Pueblo y Educación</w:t>
      </w:r>
      <w:r>
        <w:rPr>
          <w:rFonts w:ascii="Times New Roman" w:hAnsi="Times New Roman" w:cs="Times New Roman"/>
          <w:color w:val="000000" w:themeColor="text1"/>
          <w:sz w:val="24"/>
          <w:szCs w:val="24"/>
        </w:rPr>
        <w:t>, La Habana.</w:t>
      </w:r>
    </w:p>
    <w:p w14:paraId="0BBAA1FC" w14:textId="77777777" w:rsidR="00AA6F72" w:rsidRDefault="00000000">
      <w:pPr>
        <w:spacing w:after="120" w:line="360" w:lineRule="auto"/>
        <w:ind w:left="142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Valle, A. y otros (2019). </w:t>
      </w:r>
      <w:r>
        <w:rPr>
          <w:rFonts w:ascii="Times New Roman" w:hAnsi="Times New Roman" w:cs="Times New Roman"/>
          <w:i/>
          <w:iCs/>
          <w:color w:val="000000" w:themeColor="text1"/>
          <w:sz w:val="24"/>
          <w:szCs w:val="24"/>
        </w:rPr>
        <w:t>Seminario Nacional a cuadros y dirigentes</w:t>
      </w:r>
      <w:r>
        <w:rPr>
          <w:rFonts w:ascii="Times New Roman" w:hAnsi="Times New Roman" w:cs="Times New Roman"/>
          <w:color w:val="000000" w:themeColor="text1"/>
          <w:sz w:val="24"/>
          <w:szCs w:val="24"/>
        </w:rPr>
        <w:t>. La Habana.</w:t>
      </w:r>
    </w:p>
    <w:p w14:paraId="11E4F500" w14:textId="77777777" w:rsidR="00AA6F72"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1797BA2C" w14:textId="77777777" w:rsidR="00AA6F72" w:rsidRDefault="00000000">
      <w:pPr>
        <w:widowControl w:val="0"/>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autores declaran que este manuscrito es original y no se ha enviado a otra revista. Los autores son responsables del contenido recogido en el artículo y en él no existen plagios, conflictos de interés ni éticos. </w:t>
      </w:r>
    </w:p>
    <w:p w14:paraId="32CDF42A" w14:textId="77777777" w:rsidR="00AA6F72" w:rsidRDefault="00AA6F72"/>
    <w:sectPr w:rsidR="00AA6F72" w:rsidSect="00D06E1D">
      <w:headerReference w:type="default" r:id="rId12"/>
      <w:footerReference w:type="default" r:id="rId13"/>
      <w:pgSz w:w="12240" w:h="15840"/>
      <w:pgMar w:top="1134" w:right="1134" w:bottom="2836" w:left="1134" w:header="811" w:footer="454"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C521" w14:textId="77777777" w:rsidR="001C0138" w:rsidRDefault="001C0138">
      <w:pPr>
        <w:spacing w:line="240" w:lineRule="auto"/>
      </w:pPr>
      <w:r>
        <w:separator/>
      </w:r>
    </w:p>
  </w:endnote>
  <w:endnote w:type="continuationSeparator" w:id="0">
    <w:p w14:paraId="6ECFD434" w14:textId="77777777" w:rsidR="001C0138" w:rsidRDefault="001C0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D06E1D" w:rsidRPr="00D06E1D" w14:paraId="6A11D549"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1C6F9E52" w14:textId="77777777" w:rsidR="00D06E1D" w:rsidRPr="00D06E1D" w:rsidRDefault="00D06E1D" w:rsidP="00D06E1D">
          <w:pPr>
            <w:spacing w:after="0" w:line="240" w:lineRule="auto"/>
            <w:rPr>
              <w:rFonts w:ascii="Calibri" w:eastAsia="Calibri" w:hAnsi="Calibri" w:cs="Times New Roman"/>
              <w:b/>
              <w:color w:val="FFFFFF"/>
              <w:lang w:val="en-US"/>
            </w:rPr>
          </w:pPr>
          <w:r w:rsidRPr="00D06E1D">
            <w:rPr>
              <w:rFonts w:ascii="Calibri" w:eastAsia="Calibri" w:hAnsi="Calibri" w:cs="Times New Roman"/>
              <w:b/>
              <w:noProof/>
              <w:color w:val="FFFFFF"/>
              <w:lang w:val="en-US"/>
            </w:rPr>
            <w:drawing>
              <wp:inline distT="0" distB="0" distL="0" distR="0" wp14:anchorId="0ACFC4B2" wp14:editId="5FB99DBB">
                <wp:extent cx="1174805" cy="411480"/>
                <wp:effectExtent l="0" t="0" r="6350" b="7620"/>
                <wp:docPr id="20472153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01197254" w14:textId="77777777" w:rsidR="00D06E1D" w:rsidRPr="00D06E1D" w:rsidRDefault="00D06E1D" w:rsidP="00D06E1D">
          <w:pPr>
            <w:spacing w:after="0" w:line="240" w:lineRule="auto"/>
            <w:rPr>
              <w:rFonts w:ascii="Calibri" w:eastAsia="Calibri" w:hAnsi="Calibri" w:cs="Times New Roman"/>
              <w:color w:val="FFFFFF"/>
              <w:sz w:val="20"/>
              <w:lang w:val="es-CU"/>
            </w:rPr>
          </w:pPr>
          <w:r w:rsidRPr="00D06E1D">
            <w:rPr>
              <w:rFonts w:ascii="Calibri" w:eastAsia="Calibri" w:hAnsi="Calibri" w:cs="Times New Roman"/>
              <w:color w:val="FFFFFF"/>
              <w:sz w:val="20"/>
              <w:lang w:val="es-CU"/>
            </w:rPr>
            <w:t xml:space="preserve">Artículo de acceso abierto distribuido bajo los términos de la licencia Creative </w:t>
          </w:r>
          <w:proofErr w:type="spellStart"/>
          <w:r w:rsidRPr="00D06E1D">
            <w:rPr>
              <w:rFonts w:ascii="Calibri" w:eastAsia="Calibri" w:hAnsi="Calibri" w:cs="Times New Roman"/>
              <w:color w:val="FFFFFF"/>
              <w:sz w:val="20"/>
              <w:lang w:val="es-CU"/>
            </w:rPr>
            <w:t>Commons</w:t>
          </w:r>
          <w:proofErr w:type="spellEnd"/>
          <w:r w:rsidRPr="00D06E1D">
            <w:rPr>
              <w:rFonts w:ascii="Calibri" w:eastAsia="Calibri" w:hAnsi="Calibri" w:cs="Times New Roman"/>
              <w:color w:val="FFFFFF"/>
              <w:sz w:val="20"/>
              <w:lang w:val="es-CU"/>
            </w:rPr>
            <w:t xml:space="preserve">. </w:t>
          </w:r>
        </w:p>
        <w:p w14:paraId="4843BF61" w14:textId="77777777" w:rsidR="00D06E1D" w:rsidRPr="00D06E1D" w:rsidRDefault="00D06E1D" w:rsidP="00D06E1D">
          <w:pPr>
            <w:spacing w:after="0" w:line="240" w:lineRule="auto"/>
            <w:rPr>
              <w:rFonts w:ascii="Calibri" w:eastAsia="Calibri" w:hAnsi="Calibri" w:cs="Times New Roman"/>
              <w:b/>
              <w:color w:val="FFFFFF"/>
              <w:lang w:val="es-CU"/>
            </w:rPr>
          </w:pPr>
          <w:r w:rsidRPr="00D06E1D">
            <w:rPr>
              <w:rFonts w:ascii="Calibri" w:eastAsia="Calibri" w:hAnsi="Calibri" w:cs="Times New Roman"/>
              <w:color w:val="FFFFFF"/>
              <w:sz w:val="20"/>
              <w:lang w:val="es-CU"/>
            </w:rPr>
            <w:t>Reconocimiento-</w:t>
          </w:r>
          <w:proofErr w:type="spellStart"/>
          <w:r w:rsidRPr="00D06E1D">
            <w:rPr>
              <w:rFonts w:ascii="Calibri" w:eastAsia="Calibri" w:hAnsi="Calibri" w:cs="Times New Roman"/>
              <w:color w:val="FFFFFF"/>
              <w:sz w:val="20"/>
              <w:lang w:val="es-CU"/>
            </w:rPr>
            <w:t>NoComercial</w:t>
          </w:r>
          <w:proofErr w:type="spellEnd"/>
          <w:r w:rsidRPr="00D06E1D">
            <w:rPr>
              <w:rFonts w:ascii="Calibri" w:eastAsia="Calibri" w:hAnsi="Calibri" w:cs="Times New Roman"/>
              <w:color w:val="FFFFFF"/>
              <w:sz w:val="20"/>
              <w:lang w:val="es-CU"/>
            </w:rPr>
            <w:t xml:space="preserve"> 4.0 Internacional (CC BY-NC 4.0)</w:t>
          </w:r>
        </w:p>
      </w:tc>
    </w:tr>
    <w:tr w:rsidR="00D06E1D" w:rsidRPr="00D06E1D" w14:paraId="5D7F9A98"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49305026" w14:textId="77777777" w:rsidR="00D06E1D" w:rsidRPr="00D06E1D" w:rsidRDefault="00D06E1D" w:rsidP="00D06E1D">
          <w:pPr>
            <w:spacing w:after="0" w:line="240" w:lineRule="auto"/>
            <w:jc w:val="center"/>
            <w:rPr>
              <w:rFonts w:ascii="Calibri" w:eastAsia="Calibri" w:hAnsi="Calibri" w:cs="Times New Roman"/>
              <w:color w:val="FFFFFF"/>
              <w:sz w:val="20"/>
              <w:lang w:val="es-CU"/>
            </w:rPr>
          </w:pPr>
          <w:r w:rsidRPr="00D06E1D">
            <w:rPr>
              <w:rFonts w:ascii="Calibri" w:eastAsia="Calibri" w:hAnsi="Calibri" w:cs="Times New Roman"/>
              <w:color w:val="833C0B"/>
              <w:sz w:val="20"/>
              <w:lang w:val="es-CU"/>
            </w:rPr>
            <w:t>Calle 41 No. 3406 e/34 y 36 Playa, La Habana, Cuba.    /   revista@iccp.rimed.cu   /   www.cienciaspedagogicas.rimed.cu</w:t>
          </w:r>
        </w:p>
      </w:tc>
    </w:tr>
  </w:tbl>
  <w:p w14:paraId="035A9C6E" w14:textId="77777777" w:rsidR="00AA6F72" w:rsidRDefault="00000000" w:rsidP="00D06E1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14</w:t>
    </w:r>
    <w:r>
      <w:rPr>
        <w:caps/>
        <w:color w:val="5B9BD5" w:themeColor="accent1"/>
      </w:rPr>
      <w:fldChar w:fldCharType="end"/>
    </w:r>
  </w:p>
  <w:p w14:paraId="462FC7F5" w14:textId="77777777" w:rsidR="00AA6F72" w:rsidRDefault="00AA6F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DF9B" w14:textId="77777777" w:rsidR="001C0138" w:rsidRDefault="001C0138">
      <w:pPr>
        <w:spacing w:after="0"/>
      </w:pPr>
      <w:r>
        <w:separator/>
      </w:r>
    </w:p>
  </w:footnote>
  <w:footnote w:type="continuationSeparator" w:id="0">
    <w:p w14:paraId="6FC8992F" w14:textId="77777777" w:rsidR="001C0138" w:rsidRDefault="001C0138">
      <w:pPr>
        <w:spacing w:after="0"/>
      </w:pPr>
      <w:r>
        <w:continuationSeparator/>
      </w:r>
    </w:p>
  </w:footnote>
  <w:footnote w:id="1">
    <w:p w14:paraId="4CA91D96" w14:textId="77777777" w:rsidR="00AA6F72" w:rsidRDefault="00000000">
      <w:pPr>
        <w:pStyle w:val="Textonotapie"/>
        <w:spacing w:after="0" w:line="260" w:lineRule="auto"/>
      </w:pPr>
      <w:r>
        <w:rPr>
          <w:rStyle w:val="Refdenotaalpie"/>
        </w:rPr>
        <w:footnoteRef/>
      </w:r>
      <w:r>
        <w:t xml:space="preserve"> Directora general del Instituto Central de Ciencias Pedagógicas </w:t>
      </w:r>
    </w:p>
  </w:footnote>
  <w:footnote w:id="2">
    <w:p w14:paraId="0EE0E26E" w14:textId="77777777" w:rsidR="00AA6F72" w:rsidRDefault="00000000">
      <w:pPr>
        <w:pStyle w:val="Textonotapie"/>
        <w:spacing w:after="0" w:line="260" w:lineRule="auto"/>
      </w:pPr>
      <w:r>
        <w:rPr>
          <w:rStyle w:val="Refdenotaalpie"/>
        </w:rPr>
        <w:footnoteRef/>
      </w:r>
      <w:r>
        <w:t xml:space="preserve"> Investigador y profesor Titular. Líder científico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D06E1D" w:rsidRPr="00D06E1D" w14:paraId="460C2091" w14:textId="77777777" w:rsidTr="0039226C">
      <w:trPr>
        <w:trHeight w:val="955"/>
        <w:jc w:val="center"/>
      </w:trPr>
      <w:tc>
        <w:tcPr>
          <w:tcW w:w="4821" w:type="dxa"/>
          <w:tcMar>
            <w:top w:w="72" w:type="dxa"/>
            <w:left w:w="115" w:type="dxa"/>
            <w:bottom w:w="72" w:type="dxa"/>
            <w:right w:w="115" w:type="dxa"/>
          </w:tcMar>
          <w:vAlign w:val="center"/>
        </w:tcPr>
        <w:p w14:paraId="179694E8" w14:textId="77777777" w:rsidR="00D06E1D" w:rsidRPr="00D06E1D" w:rsidRDefault="00D06E1D" w:rsidP="00D06E1D">
          <w:pPr>
            <w:spacing w:after="0" w:line="240" w:lineRule="auto"/>
            <w:ind w:left="32" w:hanging="10"/>
            <w:jc w:val="center"/>
            <w:rPr>
              <w:rFonts w:ascii="Arial" w:eastAsia="DengXian" w:hAnsi="Arial" w:cs="Arial"/>
              <w:b/>
              <w:sz w:val="28"/>
              <w:szCs w:val="24"/>
              <w:lang w:val="zh-CN"/>
            </w:rPr>
          </w:pPr>
          <w:r w:rsidRPr="00D06E1D">
            <w:rPr>
              <w:rFonts w:ascii="DengXian" w:eastAsia="DengXian" w:hAnsi="DengXian" w:cs="Times New Roman"/>
              <w:noProof/>
              <w:lang w:val="zh-CN" w:eastAsia="es-ES"/>
            </w:rPr>
            <w:drawing>
              <wp:inline distT="0" distB="0" distL="0" distR="0" wp14:anchorId="3A796F7E" wp14:editId="5FB701DF">
                <wp:extent cx="2933700" cy="572341"/>
                <wp:effectExtent l="0" t="0" r="0" b="0"/>
                <wp:docPr id="137724413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06DB4B59" w14:textId="77777777" w:rsidR="00D06E1D" w:rsidRPr="00D06E1D" w:rsidRDefault="00D06E1D" w:rsidP="00D06E1D">
          <w:pPr>
            <w:spacing w:after="0" w:line="240" w:lineRule="auto"/>
            <w:jc w:val="center"/>
            <w:rPr>
              <w:rFonts w:ascii="DengXian" w:eastAsia="DengXian" w:hAnsi="DengXian" w:cs="Times New Roman"/>
              <w:b/>
              <w:color w:val="FFFFFF"/>
              <w:sz w:val="16"/>
              <w:szCs w:val="16"/>
              <w:lang w:val="zh-CN"/>
            </w:rPr>
          </w:pPr>
          <w:r w:rsidRPr="00D06E1D">
            <w:rPr>
              <w:rFonts w:ascii="DengXian" w:eastAsia="DengXian" w:hAnsi="DengXian" w:cs="Times New Roman"/>
              <w:b/>
              <w:color w:val="FFFFFF"/>
              <w:sz w:val="16"/>
              <w:szCs w:val="16"/>
              <w:lang w:val="zh-CN"/>
            </w:rPr>
            <w:t>ISSN: 1605 – 5888    RNPS: 1844</w:t>
          </w:r>
        </w:p>
        <w:p w14:paraId="25E63840" w14:textId="77777777" w:rsidR="00D06E1D" w:rsidRPr="00D06E1D" w:rsidRDefault="00D06E1D" w:rsidP="00D06E1D">
          <w:pPr>
            <w:spacing w:after="0" w:line="240" w:lineRule="auto"/>
            <w:jc w:val="center"/>
            <w:rPr>
              <w:rFonts w:ascii="DengXian" w:eastAsia="DengXian" w:hAnsi="DengXian" w:cs="Times New Roman"/>
              <w:b/>
              <w:color w:val="FFFFFF"/>
              <w:sz w:val="16"/>
              <w:szCs w:val="16"/>
            </w:rPr>
          </w:pPr>
          <w:r w:rsidRPr="00D06E1D">
            <w:rPr>
              <w:rFonts w:ascii="DengXian" w:eastAsia="DengXian" w:hAnsi="DengXian" w:cs="Times New Roman"/>
              <w:b/>
              <w:color w:val="FFFFFF"/>
              <w:sz w:val="16"/>
              <w:szCs w:val="16"/>
              <w:lang w:val="zh-CN"/>
            </w:rPr>
            <w:t>V.</w:t>
          </w:r>
          <w:r w:rsidRPr="00D06E1D">
            <w:rPr>
              <w:rFonts w:ascii="DengXian" w:eastAsia="DengXian" w:hAnsi="DengXian" w:cs="Times New Roman"/>
              <w:b/>
              <w:color w:val="FFFFFF"/>
              <w:sz w:val="16"/>
              <w:szCs w:val="16"/>
            </w:rPr>
            <w:t>18</w:t>
          </w:r>
          <w:r w:rsidRPr="00D06E1D">
            <w:rPr>
              <w:rFonts w:ascii="DengXian" w:eastAsia="DengXian" w:hAnsi="DengXian" w:cs="Times New Roman"/>
              <w:b/>
              <w:color w:val="FFFFFF"/>
              <w:sz w:val="16"/>
              <w:szCs w:val="16"/>
              <w:lang w:val="zh-CN"/>
            </w:rPr>
            <w:t>. No.</w:t>
          </w:r>
          <w:r w:rsidRPr="00D06E1D">
            <w:rPr>
              <w:rFonts w:ascii="DengXian" w:eastAsia="DengXian" w:hAnsi="DengXian" w:cs="Times New Roman"/>
              <w:b/>
              <w:color w:val="FFFFFF"/>
              <w:sz w:val="16"/>
              <w:szCs w:val="16"/>
            </w:rPr>
            <w:t>3</w:t>
          </w:r>
          <w:r w:rsidRPr="00D06E1D">
            <w:rPr>
              <w:rFonts w:ascii="DengXian" w:eastAsia="DengXian" w:hAnsi="DengXian" w:cs="Times New Roman"/>
              <w:b/>
              <w:color w:val="FFFFFF"/>
              <w:sz w:val="16"/>
              <w:szCs w:val="16"/>
              <w:lang w:val="zh-CN"/>
            </w:rPr>
            <w:t xml:space="preserve"> (</w:t>
          </w:r>
          <w:r w:rsidRPr="00D06E1D">
            <w:rPr>
              <w:rFonts w:ascii="DengXian" w:eastAsia="DengXian" w:hAnsi="DengXian" w:cs="Times New Roman"/>
              <w:b/>
              <w:color w:val="FFFFFF"/>
              <w:sz w:val="16"/>
              <w:szCs w:val="16"/>
            </w:rPr>
            <w:t>septiembre-diciembre</w:t>
          </w:r>
          <w:r w:rsidRPr="00D06E1D">
            <w:rPr>
              <w:rFonts w:ascii="DengXian" w:eastAsia="DengXian" w:hAnsi="DengXian" w:cs="Times New Roman"/>
              <w:b/>
              <w:color w:val="FFFFFF"/>
              <w:sz w:val="16"/>
              <w:szCs w:val="16"/>
              <w:lang w:val="zh-CN"/>
            </w:rPr>
            <w:t>) Año 202</w:t>
          </w:r>
          <w:r w:rsidRPr="00D06E1D">
            <w:rPr>
              <w:rFonts w:ascii="DengXian" w:eastAsia="DengXian" w:hAnsi="DengXian" w:cs="Times New Roman"/>
              <w:b/>
              <w:color w:val="FFFFFF"/>
              <w:sz w:val="16"/>
              <w:szCs w:val="16"/>
            </w:rPr>
            <w:t>5</w:t>
          </w:r>
          <w:r w:rsidRPr="00D06E1D">
            <w:rPr>
              <w:rFonts w:ascii="DengXian" w:eastAsia="DengXian" w:hAnsi="DengXian" w:cs="Times New Roman"/>
              <w:b/>
              <w:color w:val="FFFFFF"/>
              <w:sz w:val="16"/>
              <w:szCs w:val="16"/>
              <w:lang w:val="zh-CN"/>
            </w:rPr>
            <w:t xml:space="preserve">, 4ta Etapa </w:t>
          </w:r>
        </w:p>
        <w:p w14:paraId="0C08BB75" w14:textId="77777777" w:rsidR="00D06E1D" w:rsidRPr="00D06E1D" w:rsidRDefault="00D06E1D" w:rsidP="00D06E1D">
          <w:pPr>
            <w:spacing w:after="0" w:line="240" w:lineRule="auto"/>
            <w:jc w:val="center"/>
            <w:rPr>
              <w:rFonts w:ascii="DengXian" w:eastAsia="DengXian" w:hAnsi="DengXian" w:cs="Times New Roman"/>
              <w:b/>
              <w:color w:val="FFFFFF"/>
              <w:sz w:val="20"/>
              <w:szCs w:val="20"/>
            </w:rPr>
          </w:pPr>
          <w:r w:rsidRPr="00D06E1D">
            <w:rPr>
              <w:rFonts w:ascii="DengXian" w:eastAsia="DengXian" w:hAnsi="DengXian" w:cs="Times New Roman"/>
              <w:b/>
              <w:color w:val="FFFFFF"/>
              <w:sz w:val="16"/>
              <w:szCs w:val="16"/>
              <w:lang w:val="zh-CN"/>
            </w:rPr>
            <w:t>Págs.</w:t>
          </w:r>
          <w:r w:rsidRPr="00D06E1D">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72-85</w:t>
          </w:r>
        </w:p>
      </w:tc>
    </w:tr>
  </w:tbl>
  <w:p w14:paraId="5A4A22D5" w14:textId="77777777" w:rsidR="00AA6F72" w:rsidRDefault="00AA6F72">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8A"/>
    <w:rsid w:val="001C0138"/>
    <w:rsid w:val="002F4640"/>
    <w:rsid w:val="0065736C"/>
    <w:rsid w:val="009E7123"/>
    <w:rsid w:val="00AA6F72"/>
    <w:rsid w:val="00C573A1"/>
    <w:rsid w:val="00D06E1D"/>
    <w:rsid w:val="00D2488A"/>
    <w:rsid w:val="00EA6AB0"/>
    <w:rsid w:val="0B0B580F"/>
    <w:rsid w:val="0BB60DB9"/>
    <w:rsid w:val="0D044340"/>
    <w:rsid w:val="0E523D0A"/>
    <w:rsid w:val="187B6274"/>
    <w:rsid w:val="2E4E7180"/>
    <w:rsid w:val="41BD1BEC"/>
    <w:rsid w:val="45F276DC"/>
    <w:rsid w:val="471B14C2"/>
    <w:rsid w:val="4F787CF2"/>
    <w:rsid w:val="51F905A1"/>
    <w:rsid w:val="66BB5288"/>
    <w:rsid w:val="699F6F59"/>
    <w:rsid w:val="6D8A62AD"/>
    <w:rsid w:val="76FE584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EA32"/>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rPr>
  </w:style>
  <w:style w:type="paragraph" w:styleId="Ttulo2">
    <w:name w:val="heading 2"/>
    <w:basedOn w:val="Normal"/>
    <w:next w:val="Normal"/>
    <w:link w:val="Ttulo2C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pPr>
      <w:spacing w:after="120" w:line="240" w:lineRule="auto"/>
      <w:jc w:val="both"/>
    </w:pPr>
    <w:rPr>
      <w:rFonts w:ascii="Arial" w:eastAsia="Times New Roman" w:hAnsi="Arial" w:cs="Times New Roman"/>
      <w:sz w:val="24"/>
      <w:szCs w:val="20"/>
      <w:lang w:eastAsia="es-ES"/>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semiHidden/>
    <w:unhideWhenUsed/>
    <w:qFormat/>
    <w:pPr>
      <w:snapToGrid w:val="0"/>
    </w:pPr>
    <w:rPr>
      <w:sz w:val="18"/>
      <w:szCs w:val="18"/>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Estilo">
    <w:name w:val="Estilo"/>
    <w:qFormat/>
    <w:pPr>
      <w:widowControl w:val="0"/>
      <w:autoSpaceDE w:val="0"/>
      <w:autoSpaceDN w:val="0"/>
      <w:adjustRightInd w:val="0"/>
    </w:pPr>
    <w:rPr>
      <w:rFonts w:eastAsia="Times New Roman"/>
      <w:sz w:val="24"/>
      <w:szCs w:val="24"/>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5B9BD5" w:themeColor="accent1"/>
      <w:sz w:val="26"/>
      <w:szCs w:val="26"/>
      <w:lang w:eastAsia="es-ES"/>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1F4E79" w:themeColor="accent1" w:themeShade="80"/>
      <w:sz w:val="24"/>
      <w:szCs w:val="24"/>
      <w:lang w:eastAsia="es-ES"/>
    </w:rPr>
  </w:style>
  <w:style w:type="character" w:customStyle="1" w:styleId="TextoindependienteCar">
    <w:name w:val="Texto independiente Car"/>
    <w:basedOn w:val="Fuentedeprrafopredeter"/>
    <w:link w:val="Textoindependiente"/>
    <w:qFormat/>
    <w:rPr>
      <w:rFonts w:ascii="Arial" w:eastAsia="Times New Roman" w:hAnsi="Arial" w:cs="Times New Roman"/>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table" w:customStyle="1" w:styleId="Tablaconcuadrcula1">
    <w:name w:val="Tabla con cuadrícula1"/>
    <w:basedOn w:val="Tablanormal"/>
    <w:next w:val="Tablaconcuadrcula"/>
    <w:uiPriority w:val="39"/>
    <w:qFormat/>
    <w:rsid w:val="00D06E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D06E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cp@iccp.rimed.cu" TargetMode="External"/><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258BD39-9889-4869-965E-04F7118221CC}" type="doc">
      <dgm:prSet loTypeId="urn:microsoft.com/office/officeart/2005/8/layout/cycle6#1" loCatId="cycle" qsTypeId="urn:microsoft.com/office/officeart/2005/8/quickstyle/simple1#1" qsCatId="simple" csTypeId="urn:microsoft.com/office/officeart/2005/8/colors/accent1_2#1" csCatId="accent1" phldr="1"/>
      <dgm:spPr/>
      <dgm:t>
        <a:bodyPr/>
        <a:lstStyle/>
        <a:p>
          <a:endParaRPr lang="es-ES"/>
        </a:p>
      </dgm:t>
    </dgm:pt>
    <dgm:pt modelId="{77AC8601-53C4-486F-B282-F141801C8CF6}">
      <dgm:prSet phldrT="[Texto]" custT="1"/>
      <dgm:spPr>
        <a:solidFill>
          <a:schemeClr val="accent2">
            <a:lumMod val="60000"/>
            <a:lumOff val="40000"/>
          </a:schemeClr>
        </a:solidFill>
      </dgm:spPr>
      <dgm:t>
        <a:bodyPr/>
        <a:lstStyle/>
        <a:p>
          <a:r>
            <a:rPr lang="es-ES" sz="1000" b="1">
              <a:solidFill>
                <a:sysClr val="windowText" lastClr="000000"/>
              </a:solidFill>
            </a:rPr>
            <a:t>TEORICA</a:t>
          </a:r>
        </a:p>
      </dgm:t>
    </dgm:pt>
    <dgm:pt modelId="{B8A052E7-6C74-4C63-8B98-EB02648A6C42}" type="parTrans" cxnId="{289DCDB7-3900-4BF4-BA55-EE817FF4A7A5}">
      <dgm:prSet/>
      <dgm:spPr/>
      <dgm:t>
        <a:bodyPr/>
        <a:lstStyle/>
        <a:p>
          <a:endParaRPr lang="es-ES"/>
        </a:p>
      </dgm:t>
    </dgm:pt>
    <dgm:pt modelId="{5B406B13-0A04-4155-8F08-4098295A8F0D}" type="sibTrans" cxnId="{289DCDB7-3900-4BF4-BA55-EE817FF4A7A5}">
      <dgm:prSet/>
      <dgm:spPr>
        <a:ln w="12700">
          <a:solidFill>
            <a:srgbClr val="C00000"/>
          </a:solidFill>
        </a:ln>
      </dgm:spPr>
      <dgm:t>
        <a:bodyPr/>
        <a:lstStyle/>
        <a:p>
          <a:endParaRPr lang="es-ES"/>
        </a:p>
      </dgm:t>
    </dgm:pt>
    <dgm:pt modelId="{FF73DE9A-BE7F-424F-AFDF-A4F76F2530C1}">
      <dgm:prSet phldrT="[Texto]" custT="1"/>
      <dgm:spPr>
        <a:solidFill>
          <a:schemeClr val="bg1">
            <a:lumMod val="75000"/>
          </a:schemeClr>
        </a:solidFill>
      </dgm:spPr>
      <dgm:t>
        <a:bodyPr/>
        <a:lstStyle/>
        <a:p>
          <a:r>
            <a:rPr lang="es-ES" sz="1000" b="1">
              <a:solidFill>
                <a:sysClr val="windowText" lastClr="000000"/>
              </a:solidFill>
            </a:rPr>
            <a:t>MASIVA</a:t>
          </a:r>
        </a:p>
      </dgm:t>
    </dgm:pt>
    <dgm:pt modelId="{0AF139B1-A299-4009-966C-C06B2AA8BED5}" type="parTrans" cxnId="{D773CAC9-4198-4CCA-A6DE-505105B15151}">
      <dgm:prSet/>
      <dgm:spPr/>
      <dgm:t>
        <a:bodyPr/>
        <a:lstStyle/>
        <a:p>
          <a:endParaRPr lang="es-ES"/>
        </a:p>
      </dgm:t>
    </dgm:pt>
    <dgm:pt modelId="{9EA8C670-5BB4-4C98-B692-2F6944DDE541}" type="sibTrans" cxnId="{D773CAC9-4198-4CCA-A6DE-505105B15151}">
      <dgm:prSet/>
      <dgm:spPr>
        <a:solidFill>
          <a:srgbClr val="C00000"/>
        </a:solidFill>
        <a:ln w="12700">
          <a:solidFill>
            <a:srgbClr val="C00000"/>
          </a:solidFill>
        </a:ln>
      </dgm:spPr>
      <dgm:t>
        <a:bodyPr/>
        <a:lstStyle/>
        <a:p>
          <a:endParaRPr lang="es-ES"/>
        </a:p>
      </dgm:t>
    </dgm:pt>
    <dgm:pt modelId="{2A29B89B-6C40-4355-938D-43D13A203F52}">
      <dgm:prSet phldrT="[Texto]" custT="1"/>
      <dgm:spPr>
        <a:solidFill>
          <a:schemeClr val="accent4">
            <a:lumMod val="60000"/>
            <a:lumOff val="40000"/>
          </a:schemeClr>
        </a:solidFill>
      </dgm:spPr>
      <dgm:t>
        <a:bodyPr/>
        <a:lstStyle/>
        <a:p>
          <a:r>
            <a:rPr lang="es-ES" sz="1000" b="1">
              <a:solidFill>
                <a:sysClr val="windowText" lastClr="000000"/>
              </a:solidFill>
            </a:rPr>
            <a:t>ENCARGOS</a:t>
          </a:r>
        </a:p>
      </dgm:t>
    </dgm:pt>
    <dgm:pt modelId="{FA56CD7C-AA35-4344-8F3A-133E8AD22836}" type="parTrans" cxnId="{A2DF37AB-5C8C-4891-917E-7FADDC1F07C0}">
      <dgm:prSet/>
      <dgm:spPr/>
      <dgm:t>
        <a:bodyPr/>
        <a:lstStyle/>
        <a:p>
          <a:endParaRPr lang="es-ES"/>
        </a:p>
      </dgm:t>
    </dgm:pt>
    <dgm:pt modelId="{EDC7FC5E-E13B-428A-BFF8-803BAA570CAB}" type="sibTrans" cxnId="{A2DF37AB-5C8C-4891-917E-7FADDC1F07C0}">
      <dgm:prSet/>
      <dgm:spPr>
        <a:ln w="12700">
          <a:solidFill>
            <a:srgbClr val="C00000"/>
          </a:solidFill>
        </a:ln>
      </dgm:spPr>
      <dgm:t>
        <a:bodyPr/>
        <a:lstStyle/>
        <a:p>
          <a:endParaRPr lang="es-ES"/>
        </a:p>
      </dgm:t>
    </dgm:pt>
    <dgm:pt modelId="{2AFC1803-25B1-4FA2-A70A-3B9AB4CAFF17}">
      <dgm:prSet custT="1"/>
      <dgm:spPr>
        <a:solidFill>
          <a:schemeClr val="accent1">
            <a:lumMod val="75000"/>
          </a:schemeClr>
        </a:solidFill>
      </dgm:spPr>
      <dgm:t>
        <a:bodyPr/>
        <a:lstStyle/>
        <a:p>
          <a:r>
            <a:rPr lang="es-ES" sz="1000" b="1">
              <a:solidFill>
                <a:sysClr val="windowText" lastClr="000000"/>
              </a:solidFill>
            </a:rPr>
            <a:t>CONSULTA</a:t>
          </a:r>
        </a:p>
      </dgm:t>
    </dgm:pt>
    <dgm:pt modelId="{0BE56D8F-76BC-451C-93BD-69FFFF2D0D6F}" type="parTrans" cxnId="{135AC0A9-3684-4EFB-B91B-C21C8296ED79}">
      <dgm:prSet/>
      <dgm:spPr/>
      <dgm:t>
        <a:bodyPr/>
        <a:lstStyle/>
        <a:p>
          <a:endParaRPr lang="es-ES"/>
        </a:p>
      </dgm:t>
    </dgm:pt>
    <dgm:pt modelId="{E2838776-6904-432C-964D-F4868BA6AD24}" type="sibTrans" cxnId="{135AC0A9-3684-4EFB-B91B-C21C8296ED79}">
      <dgm:prSet/>
      <dgm:spPr>
        <a:ln w="9525">
          <a:solidFill>
            <a:srgbClr val="C00000"/>
          </a:solidFill>
        </a:ln>
      </dgm:spPr>
      <dgm:t>
        <a:bodyPr/>
        <a:lstStyle/>
        <a:p>
          <a:endParaRPr lang="es-ES"/>
        </a:p>
      </dgm:t>
    </dgm:pt>
    <dgm:pt modelId="{F936394A-BB77-4327-860D-27F7061D0923}">
      <dgm:prSet custT="1"/>
      <dgm:spPr>
        <a:solidFill>
          <a:srgbClr val="92D050"/>
        </a:solidFill>
      </dgm:spPr>
      <dgm:t>
        <a:bodyPr/>
        <a:lstStyle/>
        <a:p>
          <a:r>
            <a:rPr lang="es-ES" sz="1200" b="1">
              <a:solidFill>
                <a:sysClr val="windowText" lastClr="000000"/>
              </a:solidFill>
            </a:rPr>
            <a:t>P</a:t>
          </a:r>
          <a:r>
            <a:rPr lang="es-ES" sz="1000" b="1">
              <a:solidFill>
                <a:sysClr val="windowText" lastClr="000000"/>
              </a:solidFill>
            </a:rPr>
            <a:t>ROFUNDIZACIÓN</a:t>
          </a:r>
        </a:p>
      </dgm:t>
    </dgm:pt>
    <dgm:pt modelId="{A58E642E-753B-4915-8E05-F293136BA914}" type="parTrans" cxnId="{A0A6C1D0-C7EA-4964-AAAC-F51DBD1B7C28}">
      <dgm:prSet/>
      <dgm:spPr/>
      <dgm:t>
        <a:bodyPr/>
        <a:lstStyle/>
        <a:p>
          <a:endParaRPr lang="es-ES"/>
        </a:p>
      </dgm:t>
    </dgm:pt>
    <dgm:pt modelId="{FD61E131-7252-413E-B8F0-7ACBF9D4395B}" type="sibTrans" cxnId="{A0A6C1D0-C7EA-4964-AAAC-F51DBD1B7C28}">
      <dgm:prSet/>
      <dgm:spPr>
        <a:ln w="12700">
          <a:solidFill>
            <a:srgbClr val="C00000"/>
          </a:solidFill>
        </a:ln>
      </dgm:spPr>
      <dgm:t>
        <a:bodyPr/>
        <a:lstStyle/>
        <a:p>
          <a:endParaRPr lang="es-ES"/>
        </a:p>
      </dgm:t>
    </dgm:pt>
    <dgm:pt modelId="{35EC88A0-3A63-4148-AA98-9161F9DED00A}" type="pres">
      <dgm:prSet presAssocID="{5258BD39-9889-4869-965E-04F7118221CC}" presName="cycle" presStyleCnt="0">
        <dgm:presLayoutVars>
          <dgm:dir/>
          <dgm:resizeHandles val="exact"/>
        </dgm:presLayoutVars>
      </dgm:prSet>
      <dgm:spPr/>
    </dgm:pt>
    <dgm:pt modelId="{9F60CDDC-B0E2-4FEC-A08F-FB67D61A464C}" type="pres">
      <dgm:prSet presAssocID="{77AC8601-53C4-486F-B282-F141801C8CF6}" presName="node" presStyleLbl="node1" presStyleIdx="0" presStyleCnt="5" custScaleX="134551">
        <dgm:presLayoutVars>
          <dgm:bulletEnabled val="1"/>
        </dgm:presLayoutVars>
      </dgm:prSet>
      <dgm:spPr/>
    </dgm:pt>
    <dgm:pt modelId="{39A7CA78-EF50-4F91-B6A7-D0E80E138F35}" type="pres">
      <dgm:prSet presAssocID="{77AC8601-53C4-486F-B282-F141801C8CF6}" presName="spNode" presStyleCnt="0"/>
      <dgm:spPr/>
    </dgm:pt>
    <dgm:pt modelId="{0E886362-88EA-4DE1-AC65-4D7843783B2B}" type="pres">
      <dgm:prSet presAssocID="{5B406B13-0A04-4155-8F08-4098295A8F0D}" presName="sibTrans" presStyleLbl="sibTrans1D1" presStyleIdx="0" presStyleCnt="5"/>
      <dgm:spPr/>
    </dgm:pt>
    <dgm:pt modelId="{9140A46E-5B84-4E9B-AAF4-ABA121DF8C23}" type="pres">
      <dgm:prSet presAssocID="{2AFC1803-25B1-4FA2-A70A-3B9AB4CAFF17}" presName="node" presStyleLbl="node1" presStyleIdx="1" presStyleCnt="5" custScaleX="123613" custRadScaleRad="107798" custRadScaleInc="1653">
        <dgm:presLayoutVars>
          <dgm:bulletEnabled val="1"/>
        </dgm:presLayoutVars>
      </dgm:prSet>
      <dgm:spPr/>
    </dgm:pt>
    <dgm:pt modelId="{C0D2A37A-D78C-4469-B4CA-4EC24C5448AD}" type="pres">
      <dgm:prSet presAssocID="{2AFC1803-25B1-4FA2-A70A-3B9AB4CAFF17}" presName="spNode" presStyleCnt="0"/>
      <dgm:spPr/>
    </dgm:pt>
    <dgm:pt modelId="{5F4AFD6B-11B2-4D30-88B7-5FA377CD8803}" type="pres">
      <dgm:prSet presAssocID="{E2838776-6904-432C-964D-F4868BA6AD24}" presName="sibTrans" presStyleLbl="sibTrans1D1" presStyleIdx="1" presStyleCnt="5"/>
      <dgm:spPr/>
    </dgm:pt>
    <dgm:pt modelId="{DF30702C-6D97-4907-A598-C930B497927A}" type="pres">
      <dgm:prSet presAssocID="{F936394A-BB77-4327-860D-27F7061D0923}" presName="node" presStyleLbl="node1" presStyleIdx="2" presStyleCnt="5" custScaleX="179191" custRadScaleRad="105593" custRadScaleInc="-46461">
        <dgm:presLayoutVars>
          <dgm:bulletEnabled val="1"/>
        </dgm:presLayoutVars>
      </dgm:prSet>
      <dgm:spPr/>
    </dgm:pt>
    <dgm:pt modelId="{454C55E8-6D05-4E9F-8EA3-D1C491F8D99B}" type="pres">
      <dgm:prSet presAssocID="{F936394A-BB77-4327-860D-27F7061D0923}" presName="spNode" presStyleCnt="0"/>
      <dgm:spPr/>
    </dgm:pt>
    <dgm:pt modelId="{00B9FD63-03C1-459A-ADE4-5B9F9B95657D}" type="pres">
      <dgm:prSet presAssocID="{FD61E131-7252-413E-B8F0-7ACBF9D4395B}" presName="sibTrans" presStyleLbl="sibTrans1D1" presStyleIdx="2" presStyleCnt="5"/>
      <dgm:spPr/>
    </dgm:pt>
    <dgm:pt modelId="{F91F3ADD-80C8-4F1C-83D5-D67AF42853F2}" type="pres">
      <dgm:prSet presAssocID="{FF73DE9A-BE7F-424F-AFDF-A4F76F2530C1}" presName="node" presStyleLbl="node1" presStyleIdx="3" presStyleCnt="5" custScaleX="116104" custRadScaleRad="104258" custRadScaleInc="47067">
        <dgm:presLayoutVars>
          <dgm:bulletEnabled val="1"/>
        </dgm:presLayoutVars>
      </dgm:prSet>
      <dgm:spPr/>
    </dgm:pt>
    <dgm:pt modelId="{1BFFBF2B-15A4-436C-8E03-9048C5F7DDAF}" type="pres">
      <dgm:prSet presAssocID="{FF73DE9A-BE7F-424F-AFDF-A4F76F2530C1}" presName="spNode" presStyleCnt="0"/>
      <dgm:spPr/>
    </dgm:pt>
    <dgm:pt modelId="{605466B0-735F-40B8-9300-3AD1D68172B7}" type="pres">
      <dgm:prSet presAssocID="{9EA8C670-5BB4-4C98-B692-2F6944DDE541}" presName="sibTrans" presStyleLbl="sibTrans1D1" presStyleIdx="3" presStyleCnt="5"/>
      <dgm:spPr/>
    </dgm:pt>
    <dgm:pt modelId="{4F8652C8-108F-4D45-AD33-9AF701895AC5}" type="pres">
      <dgm:prSet presAssocID="{2A29B89B-6C40-4355-938D-43D13A203F52}" presName="node" presStyleLbl="node1" presStyleIdx="4" presStyleCnt="5" custScaleX="124706">
        <dgm:presLayoutVars>
          <dgm:bulletEnabled val="1"/>
        </dgm:presLayoutVars>
      </dgm:prSet>
      <dgm:spPr/>
    </dgm:pt>
    <dgm:pt modelId="{CF44E73E-B307-4C14-9C0B-2C29CD9E421B}" type="pres">
      <dgm:prSet presAssocID="{2A29B89B-6C40-4355-938D-43D13A203F52}" presName="spNode" presStyleCnt="0"/>
      <dgm:spPr/>
    </dgm:pt>
    <dgm:pt modelId="{81C03F1C-1B39-402B-BCF9-6B785BC5DB36}" type="pres">
      <dgm:prSet presAssocID="{EDC7FC5E-E13B-428A-BFF8-803BAA570CAB}" presName="sibTrans" presStyleLbl="sibTrans1D1" presStyleIdx="4" presStyleCnt="5"/>
      <dgm:spPr/>
    </dgm:pt>
  </dgm:ptLst>
  <dgm:cxnLst>
    <dgm:cxn modelId="{988D3200-1586-4D2D-A393-3CE4B5E90E5B}" type="presOf" srcId="{F936394A-BB77-4327-860D-27F7061D0923}" destId="{DF30702C-6D97-4907-A598-C930B497927A}" srcOrd="0" destOrd="0" presId="urn:microsoft.com/office/officeart/2005/8/layout/cycle6#1"/>
    <dgm:cxn modelId="{E3ADD210-372F-47E6-A245-1496C0DEAE2F}" type="presOf" srcId="{2AFC1803-25B1-4FA2-A70A-3B9AB4CAFF17}" destId="{9140A46E-5B84-4E9B-AAF4-ABA121DF8C23}" srcOrd="0" destOrd="0" presId="urn:microsoft.com/office/officeart/2005/8/layout/cycle6#1"/>
    <dgm:cxn modelId="{BCD5EF42-08CF-4310-B33F-8E8204BF7203}" type="presOf" srcId="{EDC7FC5E-E13B-428A-BFF8-803BAA570CAB}" destId="{81C03F1C-1B39-402B-BCF9-6B785BC5DB36}" srcOrd="0" destOrd="0" presId="urn:microsoft.com/office/officeart/2005/8/layout/cycle6#1"/>
    <dgm:cxn modelId="{A7BB4CA6-AD15-43FA-A0A1-C6080DB83571}" type="presOf" srcId="{2A29B89B-6C40-4355-938D-43D13A203F52}" destId="{4F8652C8-108F-4D45-AD33-9AF701895AC5}" srcOrd="0" destOrd="0" presId="urn:microsoft.com/office/officeart/2005/8/layout/cycle6#1"/>
    <dgm:cxn modelId="{4D6A17A8-BFC9-4C34-832F-BBDB41239C92}" type="presOf" srcId="{5B406B13-0A04-4155-8F08-4098295A8F0D}" destId="{0E886362-88EA-4DE1-AC65-4D7843783B2B}" srcOrd="0" destOrd="0" presId="urn:microsoft.com/office/officeart/2005/8/layout/cycle6#1"/>
    <dgm:cxn modelId="{135AC0A9-3684-4EFB-B91B-C21C8296ED79}" srcId="{5258BD39-9889-4869-965E-04F7118221CC}" destId="{2AFC1803-25B1-4FA2-A70A-3B9AB4CAFF17}" srcOrd="1" destOrd="0" parTransId="{0BE56D8F-76BC-451C-93BD-69FFFF2D0D6F}" sibTransId="{E2838776-6904-432C-964D-F4868BA6AD24}"/>
    <dgm:cxn modelId="{A66AA7AA-EBEB-4BD2-8908-F7D070455B97}" type="presOf" srcId="{77AC8601-53C4-486F-B282-F141801C8CF6}" destId="{9F60CDDC-B0E2-4FEC-A08F-FB67D61A464C}" srcOrd="0" destOrd="0" presId="urn:microsoft.com/office/officeart/2005/8/layout/cycle6#1"/>
    <dgm:cxn modelId="{A2DF37AB-5C8C-4891-917E-7FADDC1F07C0}" srcId="{5258BD39-9889-4869-965E-04F7118221CC}" destId="{2A29B89B-6C40-4355-938D-43D13A203F52}" srcOrd="4" destOrd="0" parTransId="{FA56CD7C-AA35-4344-8F3A-133E8AD22836}" sibTransId="{EDC7FC5E-E13B-428A-BFF8-803BAA570CAB}"/>
    <dgm:cxn modelId="{289DCDB7-3900-4BF4-BA55-EE817FF4A7A5}" srcId="{5258BD39-9889-4869-965E-04F7118221CC}" destId="{77AC8601-53C4-486F-B282-F141801C8CF6}" srcOrd="0" destOrd="0" parTransId="{B8A052E7-6C74-4C63-8B98-EB02648A6C42}" sibTransId="{5B406B13-0A04-4155-8F08-4098295A8F0D}"/>
    <dgm:cxn modelId="{C50ED6C2-9011-4FF5-8011-1C1BD641374E}" type="presOf" srcId="{FF73DE9A-BE7F-424F-AFDF-A4F76F2530C1}" destId="{F91F3ADD-80C8-4F1C-83D5-D67AF42853F2}" srcOrd="0" destOrd="0" presId="urn:microsoft.com/office/officeart/2005/8/layout/cycle6#1"/>
    <dgm:cxn modelId="{D773CAC9-4198-4CCA-A6DE-505105B15151}" srcId="{5258BD39-9889-4869-965E-04F7118221CC}" destId="{FF73DE9A-BE7F-424F-AFDF-A4F76F2530C1}" srcOrd="3" destOrd="0" parTransId="{0AF139B1-A299-4009-966C-C06B2AA8BED5}" sibTransId="{9EA8C670-5BB4-4C98-B692-2F6944DDE541}"/>
    <dgm:cxn modelId="{A0A6C1D0-C7EA-4964-AAAC-F51DBD1B7C28}" srcId="{5258BD39-9889-4869-965E-04F7118221CC}" destId="{F936394A-BB77-4327-860D-27F7061D0923}" srcOrd="2" destOrd="0" parTransId="{A58E642E-753B-4915-8E05-F293136BA914}" sibTransId="{FD61E131-7252-413E-B8F0-7ACBF9D4395B}"/>
    <dgm:cxn modelId="{0957B2DE-F258-47EF-867C-D8B60054C53C}" type="presOf" srcId="{9EA8C670-5BB4-4C98-B692-2F6944DDE541}" destId="{605466B0-735F-40B8-9300-3AD1D68172B7}" srcOrd="0" destOrd="0" presId="urn:microsoft.com/office/officeart/2005/8/layout/cycle6#1"/>
    <dgm:cxn modelId="{6EB40CE6-7524-4035-A2ED-F92F0BC0A2A4}" type="presOf" srcId="{E2838776-6904-432C-964D-F4868BA6AD24}" destId="{5F4AFD6B-11B2-4D30-88B7-5FA377CD8803}" srcOrd="0" destOrd="0" presId="urn:microsoft.com/office/officeart/2005/8/layout/cycle6#1"/>
    <dgm:cxn modelId="{FD5D62EA-F28C-4BE7-A656-9C2EC624D536}" type="presOf" srcId="{5258BD39-9889-4869-965E-04F7118221CC}" destId="{35EC88A0-3A63-4148-AA98-9161F9DED00A}" srcOrd="0" destOrd="0" presId="urn:microsoft.com/office/officeart/2005/8/layout/cycle6#1"/>
    <dgm:cxn modelId="{556460ED-8E76-4254-AAA2-71F1B599206D}" type="presOf" srcId="{FD61E131-7252-413E-B8F0-7ACBF9D4395B}" destId="{00B9FD63-03C1-459A-ADE4-5B9F9B95657D}" srcOrd="0" destOrd="0" presId="urn:microsoft.com/office/officeart/2005/8/layout/cycle6#1"/>
    <dgm:cxn modelId="{119741D3-DC36-4BB7-9D01-16BC853511D7}" type="presParOf" srcId="{35EC88A0-3A63-4148-AA98-9161F9DED00A}" destId="{9F60CDDC-B0E2-4FEC-A08F-FB67D61A464C}" srcOrd="0" destOrd="0" presId="urn:microsoft.com/office/officeart/2005/8/layout/cycle6#1"/>
    <dgm:cxn modelId="{E4180D29-89A8-4F84-A33D-A75CFC3BE1B2}" type="presParOf" srcId="{35EC88A0-3A63-4148-AA98-9161F9DED00A}" destId="{39A7CA78-EF50-4F91-B6A7-D0E80E138F35}" srcOrd="1" destOrd="0" presId="urn:microsoft.com/office/officeart/2005/8/layout/cycle6#1"/>
    <dgm:cxn modelId="{FC997783-1BCC-455F-9C2D-23894DE9B383}" type="presParOf" srcId="{35EC88A0-3A63-4148-AA98-9161F9DED00A}" destId="{0E886362-88EA-4DE1-AC65-4D7843783B2B}" srcOrd="2" destOrd="0" presId="urn:microsoft.com/office/officeart/2005/8/layout/cycle6#1"/>
    <dgm:cxn modelId="{53EF3A91-3A3E-4044-9140-0AE7A5090FCC}" type="presParOf" srcId="{35EC88A0-3A63-4148-AA98-9161F9DED00A}" destId="{9140A46E-5B84-4E9B-AAF4-ABA121DF8C23}" srcOrd="3" destOrd="0" presId="urn:microsoft.com/office/officeart/2005/8/layout/cycle6#1"/>
    <dgm:cxn modelId="{827C6B55-DE1B-4990-9B2E-A5FCC8FFDBE0}" type="presParOf" srcId="{35EC88A0-3A63-4148-AA98-9161F9DED00A}" destId="{C0D2A37A-D78C-4469-B4CA-4EC24C5448AD}" srcOrd="4" destOrd="0" presId="urn:microsoft.com/office/officeart/2005/8/layout/cycle6#1"/>
    <dgm:cxn modelId="{E8E2EE37-EBE0-4353-807D-7BD81BABB55D}" type="presParOf" srcId="{35EC88A0-3A63-4148-AA98-9161F9DED00A}" destId="{5F4AFD6B-11B2-4D30-88B7-5FA377CD8803}" srcOrd="5" destOrd="0" presId="urn:microsoft.com/office/officeart/2005/8/layout/cycle6#1"/>
    <dgm:cxn modelId="{E65A0B3F-7D41-4366-91EF-CC8C4DC03124}" type="presParOf" srcId="{35EC88A0-3A63-4148-AA98-9161F9DED00A}" destId="{DF30702C-6D97-4907-A598-C930B497927A}" srcOrd="6" destOrd="0" presId="urn:microsoft.com/office/officeart/2005/8/layout/cycle6#1"/>
    <dgm:cxn modelId="{534CB52A-134F-4E95-A24D-F7BDF268A74D}" type="presParOf" srcId="{35EC88A0-3A63-4148-AA98-9161F9DED00A}" destId="{454C55E8-6D05-4E9F-8EA3-D1C491F8D99B}" srcOrd="7" destOrd="0" presId="urn:microsoft.com/office/officeart/2005/8/layout/cycle6#1"/>
    <dgm:cxn modelId="{CF08666D-CA28-482D-BA39-A79798047E97}" type="presParOf" srcId="{35EC88A0-3A63-4148-AA98-9161F9DED00A}" destId="{00B9FD63-03C1-459A-ADE4-5B9F9B95657D}" srcOrd="8" destOrd="0" presId="urn:microsoft.com/office/officeart/2005/8/layout/cycle6#1"/>
    <dgm:cxn modelId="{B5317EB3-18F2-4102-94D7-99D340AF7A7D}" type="presParOf" srcId="{35EC88A0-3A63-4148-AA98-9161F9DED00A}" destId="{F91F3ADD-80C8-4F1C-83D5-D67AF42853F2}" srcOrd="9" destOrd="0" presId="urn:microsoft.com/office/officeart/2005/8/layout/cycle6#1"/>
    <dgm:cxn modelId="{C13FB19A-1FE5-4FD5-BAD3-45CC5C6560C7}" type="presParOf" srcId="{35EC88A0-3A63-4148-AA98-9161F9DED00A}" destId="{1BFFBF2B-15A4-436C-8E03-9048C5F7DDAF}" srcOrd="10" destOrd="0" presId="urn:microsoft.com/office/officeart/2005/8/layout/cycle6#1"/>
    <dgm:cxn modelId="{ED65798B-FCD6-4C0A-8E82-DFB6319B7875}" type="presParOf" srcId="{35EC88A0-3A63-4148-AA98-9161F9DED00A}" destId="{605466B0-735F-40B8-9300-3AD1D68172B7}" srcOrd="11" destOrd="0" presId="urn:microsoft.com/office/officeart/2005/8/layout/cycle6#1"/>
    <dgm:cxn modelId="{8E0D874E-62B4-4CB2-B7A4-DFDF5522A43A}" type="presParOf" srcId="{35EC88A0-3A63-4148-AA98-9161F9DED00A}" destId="{4F8652C8-108F-4D45-AD33-9AF701895AC5}" srcOrd="12" destOrd="0" presId="urn:microsoft.com/office/officeart/2005/8/layout/cycle6#1"/>
    <dgm:cxn modelId="{89364795-E480-492F-85C6-14FFE00E1B57}" type="presParOf" srcId="{35EC88A0-3A63-4148-AA98-9161F9DED00A}" destId="{CF44E73E-B307-4C14-9C0B-2C29CD9E421B}" srcOrd="13" destOrd="0" presId="urn:microsoft.com/office/officeart/2005/8/layout/cycle6#1"/>
    <dgm:cxn modelId="{BC6EBD72-6B35-4075-A321-D51FA500185E}" type="presParOf" srcId="{35EC88A0-3A63-4148-AA98-9161F9DED00A}" destId="{81C03F1C-1B39-402B-BCF9-6B785BC5DB36}" srcOrd="14" destOrd="0" presId="urn:microsoft.com/office/officeart/2005/8/layout/cycle6#1"/>
  </dgm:cxnLst>
  <dgm:bg>
    <a:solidFill>
      <a:schemeClr val="bg1"/>
    </a:solidFill>
    <a:effectLst>
      <a:outerShdw blurRad="50800" dist="50800" dir="5400000" algn="ctr" rotWithShape="0">
        <a:srgbClr val="000000">
          <a:alpha val="97000"/>
        </a:srgbClr>
      </a:outerShdw>
    </a:effectLst>
  </dgm:bg>
  <dgm:whole>
    <a:ln w="12700"/>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60CDDC-B0E2-4FEC-A08F-FB67D61A464C}">
      <dsp:nvSpPr>
        <dsp:cNvPr id="0" name=""/>
        <dsp:cNvSpPr/>
      </dsp:nvSpPr>
      <dsp:spPr bwMode="white">
        <a:xfrm>
          <a:off x="2268146" y="462"/>
          <a:ext cx="964182" cy="465785"/>
        </a:xfrm>
        <a:prstGeom prst="round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solidFill>
                <a:sysClr val="windowText" lastClr="000000"/>
              </a:solidFill>
            </a:rPr>
            <a:t>TEORICA</a:t>
          </a:r>
        </a:p>
      </dsp:txBody>
      <dsp:txXfrm>
        <a:off x="2290884" y="23200"/>
        <a:ext cx="918706" cy="420309"/>
      </dsp:txXfrm>
    </dsp:sp>
    <dsp:sp modelId="{0E886362-88EA-4DE1-AC65-4D7843783B2B}">
      <dsp:nvSpPr>
        <dsp:cNvPr id="0" name=""/>
        <dsp:cNvSpPr/>
      </dsp:nvSpPr>
      <dsp:spPr>
        <a:xfrm>
          <a:off x="1960482" y="303454"/>
          <a:ext cx="1863321" cy="1863321"/>
        </a:xfrm>
        <a:custGeom>
          <a:avLst/>
          <a:gdLst/>
          <a:ahLst/>
          <a:cxnLst/>
          <a:rect l="0" t="0" r="0" b="0"/>
          <a:pathLst>
            <a:path>
              <a:moveTo>
                <a:pt x="1276031" y="65981"/>
              </a:moveTo>
              <a:arcTo wR="931660" hR="931660" stAng="17501572" swAng="1643783"/>
            </a:path>
          </a:pathLst>
        </a:custGeom>
        <a:noFill/>
        <a:ln w="12700" cap="flat" cmpd="sng" algn="ctr">
          <a:solidFill>
            <a:srgbClr val="C00000"/>
          </a:solidFill>
          <a:prstDash val="solid"/>
          <a:miter lim="800000"/>
        </a:ln>
        <a:effectLst/>
      </dsp:spPr>
      <dsp:style>
        <a:lnRef idx="1">
          <a:scrgbClr r="0" g="0" b="0"/>
        </a:lnRef>
        <a:fillRef idx="0">
          <a:scrgbClr r="0" g="0" b="0"/>
        </a:fillRef>
        <a:effectRef idx="0">
          <a:scrgbClr r="0" g="0" b="0"/>
        </a:effectRef>
        <a:fontRef idx="minor"/>
      </dsp:style>
    </dsp:sp>
    <dsp:sp modelId="{9140A46E-5B84-4E9B-AAF4-ABA121DF8C23}">
      <dsp:nvSpPr>
        <dsp:cNvPr id="0" name=""/>
        <dsp:cNvSpPr/>
      </dsp:nvSpPr>
      <dsp:spPr bwMode="white">
        <a:xfrm>
          <a:off x="3264620" y="628394"/>
          <a:ext cx="885801" cy="465785"/>
        </a:xfrm>
        <a:prstGeom prst="roundRect">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solidFill>
                <a:sysClr val="windowText" lastClr="000000"/>
              </a:solidFill>
            </a:rPr>
            <a:t>CONSULTA</a:t>
          </a:r>
        </a:p>
      </dsp:txBody>
      <dsp:txXfrm>
        <a:off x="3287358" y="651132"/>
        <a:ext cx="840325" cy="420309"/>
      </dsp:txXfrm>
    </dsp:sp>
    <dsp:sp modelId="{5F4AFD6B-11B2-4D30-88B7-5FA377CD8803}">
      <dsp:nvSpPr>
        <dsp:cNvPr id="0" name=""/>
        <dsp:cNvSpPr/>
      </dsp:nvSpPr>
      <dsp:spPr>
        <a:xfrm>
          <a:off x="1889935" y="209966"/>
          <a:ext cx="1863321" cy="1863321"/>
        </a:xfrm>
        <a:custGeom>
          <a:avLst/>
          <a:gdLst/>
          <a:ahLst/>
          <a:cxnLst/>
          <a:rect l="0" t="0" r="0" b="0"/>
          <a:pathLst>
            <a:path>
              <a:moveTo>
                <a:pt x="1862363" y="889417"/>
              </a:moveTo>
              <a:arcTo wR="931660" hR="931660" stAng="21444070" swAng="1909922"/>
            </a:path>
          </a:pathLst>
        </a:custGeom>
        <a:noFill/>
        <a:ln w="9525" cap="flat" cmpd="sng" algn="ctr">
          <a:solidFill>
            <a:srgbClr val="C00000"/>
          </a:solidFill>
          <a:prstDash val="solid"/>
          <a:miter lim="800000"/>
        </a:ln>
        <a:effectLst/>
      </dsp:spPr>
      <dsp:style>
        <a:lnRef idx="1">
          <a:scrgbClr r="0" g="0" b="0"/>
        </a:lnRef>
        <a:fillRef idx="0">
          <a:scrgbClr r="0" g="0" b="0"/>
        </a:fillRef>
        <a:effectRef idx="0">
          <a:scrgbClr r="0" g="0" b="0"/>
        </a:effectRef>
        <a:fontRef idx="minor"/>
      </dsp:style>
    </dsp:sp>
    <dsp:sp modelId="{DF30702C-6D97-4907-A598-C930B497927A}">
      <dsp:nvSpPr>
        <dsp:cNvPr id="0" name=""/>
        <dsp:cNvSpPr/>
      </dsp:nvSpPr>
      <dsp:spPr bwMode="white">
        <a:xfrm>
          <a:off x="2829447" y="1601157"/>
          <a:ext cx="1284069" cy="465785"/>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Text" lastClr="000000"/>
              </a:solidFill>
            </a:rPr>
            <a:t>P</a:t>
          </a:r>
          <a:r>
            <a:rPr lang="es-ES" sz="1000" b="1" kern="1200">
              <a:solidFill>
                <a:sysClr val="windowText" lastClr="000000"/>
              </a:solidFill>
            </a:rPr>
            <a:t>ROFUNDIZACIÓN</a:t>
          </a:r>
        </a:p>
      </dsp:txBody>
      <dsp:txXfrm>
        <a:off x="2852185" y="1623895"/>
        <a:ext cx="1238593" cy="420309"/>
      </dsp:txXfrm>
    </dsp:sp>
    <dsp:sp modelId="{00B9FD63-03C1-459A-ADE4-5B9F9B95657D}">
      <dsp:nvSpPr>
        <dsp:cNvPr id="0" name=""/>
        <dsp:cNvSpPr/>
      </dsp:nvSpPr>
      <dsp:spPr>
        <a:xfrm>
          <a:off x="1833538" y="283698"/>
          <a:ext cx="1863321" cy="1863321"/>
        </a:xfrm>
        <a:custGeom>
          <a:avLst/>
          <a:gdLst/>
          <a:ahLst/>
          <a:cxnLst/>
          <a:rect l="0" t="0" r="0" b="0"/>
          <a:pathLst>
            <a:path>
              <a:moveTo>
                <a:pt x="1302419" y="1786371"/>
              </a:moveTo>
              <a:arcTo wR="931660" hR="931660" stAng="3992977" swAng="2904773"/>
            </a:path>
          </a:pathLst>
        </a:custGeom>
        <a:noFill/>
        <a:ln w="12700" cap="flat" cmpd="sng" algn="ctr">
          <a:solidFill>
            <a:srgbClr val="C00000"/>
          </a:solidFill>
          <a:prstDash val="solid"/>
          <a:miter lim="800000"/>
        </a:ln>
        <a:effectLst/>
      </dsp:spPr>
      <dsp:style>
        <a:lnRef idx="1">
          <a:scrgbClr r="0" g="0" b="0"/>
        </a:lnRef>
        <a:fillRef idx="0">
          <a:scrgbClr r="0" g="0" b="0"/>
        </a:fillRef>
        <a:effectRef idx="0">
          <a:scrgbClr r="0" g="0" b="0"/>
        </a:effectRef>
        <a:fontRef idx="minor"/>
      </dsp:style>
    </dsp:sp>
    <dsp:sp modelId="{F91F3ADD-80C8-4F1C-83D5-D67AF42853F2}">
      <dsp:nvSpPr>
        <dsp:cNvPr id="0" name=""/>
        <dsp:cNvSpPr/>
      </dsp:nvSpPr>
      <dsp:spPr bwMode="white">
        <a:xfrm>
          <a:off x="1620441" y="1590889"/>
          <a:ext cx="831992" cy="465785"/>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solidFill>
                <a:sysClr val="windowText" lastClr="000000"/>
              </a:solidFill>
            </a:rPr>
            <a:t>MASIVA</a:t>
          </a:r>
        </a:p>
      </dsp:txBody>
      <dsp:txXfrm>
        <a:off x="1643179" y="1613627"/>
        <a:ext cx="786516" cy="420309"/>
      </dsp:txXfrm>
    </dsp:sp>
    <dsp:sp modelId="{605466B0-735F-40B8-9300-3AD1D68172B7}">
      <dsp:nvSpPr>
        <dsp:cNvPr id="0" name=""/>
        <dsp:cNvSpPr/>
      </dsp:nvSpPr>
      <dsp:spPr>
        <a:xfrm>
          <a:off x="1810447" y="312812"/>
          <a:ext cx="1863321" cy="1863321"/>
        </a:xfrm>
        <a:custGeom>
          <a:avLst/>
          <a:gdLst/>
          <a:ahLst/>
          <a:cxnLst/>
          <a:rect l="0" t="0" r="0" b="0"/>
          <a:pathLst>
            <a:path>
              <a:moveTo>
                <a:pt x="65009" y="1273577"/>
              </a:moveTo>
              <a:arcTo wR="931660" hR="931660" stAng="9508171" swAng="1771861"/>
            </a:path>
          </a:pathLst>
        </a:custGeom>
        <a:noFill/>
        <a:ln w="12700" cap="flat" cmpd="sng" algn="ctr">
          <a:solidFill>
            <a:srgbClr val="C00000"/>
          </a:solidFill>
          <a:prstDash val="solid"/>
          <a:miter lim="800000"/>
        </a:ln>
        <a:effectLst/>
      </dsp:spPr>
      <dsp:style>
        <a:lnRef idx="1">
          <a:scrgbClr r="0" g="0" b="0"/>
        </a:lnRef>
        <a:fillRef idx="0">
          <a:scrgbClr r="0" g="0" b="0"/>
        </a:fillRef>
        <a:effectRef idx="0">
          <a:scrgbClr r="0" g="0" b="0"/>
        </a:effectRef>
        <a:fontRef idx="minor"/>
      </dsp:style>
    </dsp:sp>
    <dsp:sp modelId="{4F8652C8-108F-4D45-AD33-9AF701895AC5}">
      <dsp:nvSpPr>
        <dsp:cNvPr id="0" name=""/>
        <dsp:cNvSpPr/>
      </dsp:nvSpPr>
      <dsp:spPr bwMode="white">
        <a:xfrm>
          <a:off x="1417358" y="644224"/>
          <a:ext cx="893633" cy="465785"/>
        </a:xfrm>
        <a:prstGeom prst="round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solidFill>
                <a:sysClr val="windowText" lastClr="000000"/>
              </a:solidFill>
            </a:rPr>
            <a:t>ENCARGOS</a:t>
          </a:r>
        </a:p>
      </dsp:txBody>
      <dsp:txXfrm>
        <a:off x="1440096" y="666962"/>
        <a:ext cx="848157" cy="420309"/>
      </dsp:txXfrm>
    </dsp:sp>
    <dsp:sp modelId="{81C03F1C-1B39-402B-BCF9-6B785BC5DB36}">
      <dsp:nvSpPr>
        <dsp:cNvPr id="0" name=""/>
        <dsp:cNvSpPr/>
      </dsp:nvSpPr>
      <dsp:spPr>
        <a:xfrm>
          <a:off x="1818577" y="233354"/>
          <a:ext cx="1863321" cy="1863321"/>
        </a:xfrm>
        <a:custGeom>
          <a:avLst/>
          <a:gdLst/>
          <a:ahLst/>
          <a:cxnLst/>
          <a:rect l="0" t="0" r="0" b="0"/>
          <a:pathLst>
            <a:path>
              <a:moveTo>
                <a:pt x="161401" y="407549"/>
              </a:moveTo>
              <a:arcTo wR="931660" hR="931660" stAng="12853964" swAng="1461545"/>
            </a:path>
          </a:pathLst>
        </a:custGeom>
        <a:noFill/>
        <a:ln w="12700" cap="flat" cmpd="sng" algn="ctr">
          <a:solidFill>
            <a:srgbClr val="C00000"/>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1">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endSty" val="noArr"/>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3661</Words>
  <Characters>20874</Characters>
  <Application>Microsoft Office Word</Application>
  <DocSecurity>0</DocSecurity>
  <Lines>173</Lines>
  <Paragraphs>48</Paragraphs>
  <ScaleCrop>false</ScaleCrop>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3</cp:revision>
  <cp:lastPrinted>2025-11-24T02:49:00Z</cp:lastPrinted>
  <dcterms:created xsi:type="dcterms:W3CDTF">2025-04-01T16:15:00Z</dcterms:created>
  <dcterms:modified xsi:type="dcterms:W3CDTF">2025-11-24T02:49:00Z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49B883C6702C4B1D9AF71982465D6D79_12</vt:lpwstr>
  </property>
</Properties>
</file>