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D81CF" w14:textId="77777777" w:rsidR="00D71519" w:rsidRDefault="00000000">
      <w:pPr>
        <w:widowControl w:val="0"/>
        <w:jc w:val="center"/>
        <w:rPr>
          <w:rFonts w:ascii="Times New Roman" w:hAnsi="Times New Roman" w:cs="Times New Roman"/>
          <w:b/>
          <w:sz w:val="24"/>
        </w:rPr>
      </w:pPr>
      <w:r>
        <w:rPr>
          <w:rFonts w:ascii="Times New Roman" w:hAnsi="Times New Roman" w:cs="Times New Roman"/>
          <w:b/>
          <w:sz w:val="24"/>
        </w:rPr>
        <w:t>Superación docente para formar y desarrollar habilidades de preparación para la vida en estudiantes sordos</w:t>
      </w:r>
    </w:p>
    <w:p w14:paraId="1A09B90B" w14:textId="77777777" w:rsidR="00D71519" w:rsidRDefault="00000000">
      <w:pPr>
        <w:widowControl w:val="0"/>
        <w:jc w:val="center"/>
        <w:rPr>
          <w:rFonts w:ascii="Times New Roman" w:hAnsi="Times New Roman" w:cs="Times New Roman"/>
          <w:bCs/>
          <w:sz w:val="24"/>
          <w:lang w:val="en-US"/>
        </w:rPr>
      </w:pPr>
      <w:r>
        <w:t xml:space="preserve"> </w:t>
      </w:r>
      <w:r>
        <w:rPr>
          <w:rFonts w:ascii="Times New Roman" w:hAnsi="Times New Roman" w:cs="Times New Roman"/>
          <w:bCs/>
          <w:sz w:val="24"/>
          <w:lang w:val="en-US"/>
        </w:rPr>
        <w:t>Teacher development to train and develop life skills in deaf students</w:t>
      </w:r>
    </w:p>
    <w:p w14:paraId="020CA27B" w14:textId="77777777" w:rsidR="00D71519" w:rsidRDefault="00000000">
      <w:pPr>
        <w:widowControl w:val="0"/>
        <w:jc w:val="right"/>
        <w:rPr>
          <w:rFonts w:ascii="Times New Roman" w:hAnsi="Times New Roman" w:cs="Times New Roman"/>
          <w:b/>
          <w:bCs/>
          <w:i/>
          <w:sz w:val="24"/>
          <w:szCs w:val="24"/>
        </w:rPr>
      </w:pPr>
      <w:r>
        <w:rPr>
          <w:rFonts w:ascii="Times New Roman" w:hAnsi="Times New Roman" w:cs="Times New Roman"/>
          <w:b/>
          <w:bCs/>
          <w:i/>
          <w:sz w:val="24"/>
          <w:szCs w:val="24"/>
        </w:rPr>
        <w:t xml:space="preserve">Artículo de investigación </w:t>
      </w:r>
    </w:p>
    <w:p w14:paraId="39C20719" w14:textId="77777777" w:rsidR="00D71519" w:rsidRDefault="00D71519">
      <w:pPr>
        <w:widowControl w:val="0"/>
        <w:rPr>
          <w:rFonts w:ascii="Times New Roman" w:hAnsi="Times New Roman" w:cs="Times New Roman"/>
          <w:b/>
          <w:sz w:val="28"/>
          <w:szCs w:val="24"/>
        </w:rPr>
      </w:pPr>
    </w:p>
    <w:p w14:paraId="63972FAF" w14:textId="77777777" w:rsidR="00D71519"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3A0D491B" w14:textId="77777777" w:rsidR="00D71519" w:rsidRDefault="00000000">
      <w:pPr>
        <w:widowControl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Sheila Mariel Mella Jiménez</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p>
    <w:p w14:paraId="2ABA664E" w14:textId="77777777" w:rsidR="00D71519" w:rsidRDefault="00000000">
      <w:pPr>
        <w:widowControl w:val="0"/>
        <w:spacing w:after="0" w:line="360" w:lineRule="auto"/>
        <w:ind w:left="426"/>
        <w:jc w:val="both"/>
        <w:rPr>
          <w:rFonts w:ascii="Times New Roman" w:hAnsi="Times New Roman" w:cs="Times New Roman"/>
          <w:sz w:val="24"/>
          <w:szCs w:val="24"/>
        </w:rPr>
      </w:pPr>
      <w:r>
        <w:rPr>
          <w:rFonts w:ascii="Times New Roman" w:hAnsi="Times New Roman" w:cs="Times New Roman"/>
          <w:i/>
          <w:iCs/>
          <w:sz w:val="24"/>
          <w:szCs w:val="24"/>
        </w:rPr>
        <w:t xml:space="preserve">Correo: </w:t>
      </w:r>
      <w:r>
        <w:rPr>
          <w:rFonts w:ascii="Times New Roman" w:hAnsi="Times New Roman" w:cs="Times New Roman"/>
          <w:sz w:val="24"/>
          <w:szCs w:val="24"/>
        </w:rPr>
        <w:t>sheila.mella@utesur.edu.do</w:t>
      </w:r>
    </w:p>
    <w:p w14:paraId="4BF37B7A" w14:textId="77777777" w:rsidR="00D71519" w:rsidRDefault="00000000">
      <w:pPr>
        <w:widowControl w:val="0"/>
        <w:spacing w:after="0" w:line="360" w:lineRule="auto"/>
        <w:ind w:left="426"/>
        <w:jc w:val="both"/>
        <w:rPr>
          <w:rFonts w:ascii="Times New Roman" w:hAnsi="Times New Roman" w:cs="Times New Roman"/>
          <w:sz w:val="24"/>
          <w:szCs w:val="24"/>
        </w:rPr>
      </w:pPr>
      <w:proofErr w:type="spellStart"/>
      <w:r>
        <w:rPr>
          <w:rFonts w:ascii="Times New Roman" w:hAnsi="Times New Roman" w:cs="Times New Roman"/>
          <w:i/>
          <w:iCs/>
          <w:sz w:val="24"/>
          <w:szCs w:val="24"/>
        </w:rPr>
        <w:t>Orcid</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hyperlink r:id="rId8" w:history="1">
        <w:r>
          <w:rPr>
            <w:rStyle w:val="Hipervnculo"/>
            <w:rFonts w:ascii="Times New Roman" w:hAnsi="Times New Roman" w:cs="Times New Roman"/>
            <w:sz w:val="24"/>
            <w:szCs w:val="24"/>
          </w:rPr>
          <w:t>https://orcid.org/0009-0002-6896-8950</w:t>
        </w:r>
      </w:hyperlink>
    </w:p>
    <w:p w14:paraId="56D4D98D" w14:textId="77777777" w:rsidR="00D71519" w:rsidRDefault="00000000">
      <w:pPr>
        <w:widowControl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Universidad Tecnológica del Sur. Azua de Compostela, República Dominicana.</w:t>
      </w:r>
    </w:p>
    <w:p w14:paraId="3EAAD515" w14:textId="77777777" w:rsidR="00D71519" w:rsidRDefault="00D71519">
      <w:pPr>
        <w:widowControl w:val="0"/>
        <w:spacing w:after="0" w:line="360" w:lineRule="auto"/>
        <w:ind w:left="426"/>
        <w:jc w:val="both"/>
        <w:rPr>
          <w:rFonts w:ascii="Times New Roman" w:hAnsi="Times New Roman" w:cs="Times New Roman"/>
          <w:sz w:val="24"/>
          <w:szCs w:val="24"/>
        </w:rPr>
      </w:pPr>
    </w:p>
    <w:p w14:paraId="3ABD5ED2" w14:textId="77777777" w:rsidR="00D71519" w:rsidRDefault="00000000">
      <w:pPr>
        <w:widowControl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Ángel Luis Gómez Cardoso</w:t>
      </w:r>
      <w:r>
        <w:rPr>
          <w:rStyle w:val="Refdenotaalpie"/>
          <w:rFonts w:ascii="Times New Roman" w:hAnsi="Times New Roman" w:cs="Times New Roman"/>
          <w:sz w:val="24"/>
          <w:szCs w:val="24"/>
        </w:rPr>
        <w:footnoteReference w:id="2"/>
      </w:r>
      <w:r>
        <w:rPr>
          <w:rFonts w:ascii="Times New Roman" w:hAnsi="Times New Roman" w:cs="Times New Roman"/>
          <w:sz w:val="24"/>
          <w:szCs w:val="24"/>
        </w:rPr>
        <w:t xml:space="preserve"> </w:t>
      </w:r>
    </w:p>
    <w:p w14:paraId="0DEB701D" w14:textId="77777777" w:rsidR="00D71519" w:rsidRPr="00916749" w:rsidRDefault="00000000">
      <w:pPr>
        <w:widowControl w:val="0"/>
        <w:spacing w:after="0" w:line="360" w:lineRule="auto"/>
        <w:ind w:left="426"/>
        <w:jc w:val="both"/>
        <w:rPr>
          <w:rFonts w:ascii="Times New Roman" w:hAnsi="Times New Roman" w:cs="Times New Roman"/>
          <w:sz w:val="24"/>
          <w:szCs w:val="24"/>
        </w:rPr>
      </w:pPr>
      <w:r>
        <w:rPr>
          <w:rFonts w:ascii="Times New Roman" w:hAnsi="Times New Roman" w:cs="Times New Roman"/>
          <w:i/>
          <w:iCs/>
          <w:sz w:val="24"/>
          <w:szCs w:val="24"/>
        </w:rPr>
        <w:t>Correo</w:t>
      </w:r>
      <w:r w:rsidRPr="00916749">
        <w:rPr>
          <w:rFonts w:ascii="Times New Roman" w:hAnsi="Times New Roman" w:cs="Times New Roman"/>
          <w:i/>
          <w:iCs/>
          <w:sz w:val="24"/>
          <w:szCs w:val="24"/>
        </w:rPr>
        <w:t>:</w:t>
      </w:r>
      <w:r w:rsidRPr="00916749">
        <w:rPr>
          <w:rFonts w:ascii="Times New Roman" w:hAnsi="Times New Roman" w:cs="Times New Roman"/>
          <w:sz w:val="24"/>
          <w:szCs w:val="24"/>
        </w:rPr>
        <w:t xml:space="preserve"> angelomezg53@gmail.com </w:t>
      </w:r>
    </w:p>
    <w:p w14:paraId="1C38C980" w14:textId="77777777" w:rsidR="00D71519" w:rsidRPr="00916749" w:rsidRDefault="00000000">
      <w:pPr>
        <w:widowControl w:val="0"/>
        <w:spacing w:after="0" w:line="360" w:lineRule="auto"/>
        <w:ind w:left="426"/>
        <w:jc w:val="both"/>
        <w:rPr>
          <w:rFonts w:ascii="Times New Roman" w:hAnsi="Times New Roman" w:cs="Times New Roman"/>
          <w:sz w:val="24"/>
          <w:szCs w:val="24"/>
        </w:rPr>
      </w:pPr>
      <w:proofErr w:type="spellStart"/>
      <w:r w:rsidRPr="00916749">
        <w:rPr>
          <w:rFonts w:ascii="Times New Roman" w:hAnsi="Times New Roman" w:cs="Times New Roman"/>
          <w:i/>
          <w:iCs/>
          <w:sz w:val="24"/>
          <w:szCs w:val="24"/>
        </w:rPr>
        <w:t>Orcid</w:t>
      </w:r>
      <w:proofErr w:type="spellEnd"/>
      <w:r w:rsidRPr="00916749">
        <w:rPr>
          <w:rFonts w:ascii="Times New Roman" w:hAnsi="Times New Roman" w:cs="Times New Roman"/>
          <w:i/>
          <w:iCs/>
          <w:sz w:val="24"/>
          <w:szCs w:val="24"/>
        </w:rPr>
        <w:t>:</w:t>
      </w:r>
      <w:r w:rsidRPr="00916749">
        <w:rPr>
          <w:rFonts w:ascii="Times New Roman" w:hAnsi="Times New Roman" w:cs="Times New Roman"/>
          <w:sz w:val="24"/>
          <w:szCs w:val="24"/>
        </w:rPr>
        <w:t xml:space="preserve"> https://orcid.org/0000-0002-4736-3517</w:t>
      </w:r>
    </w:p>
    <w:p w14:paraId="4996F97C" w14:textId="77777777" w:rsidR="00D71519" w:rsidRDefault="00000000">
      <w:pPr>
        <w:widowControl w:val="0"/>
        <w:spacing w:after="0"/>
        <w:ind w:left="426"/>
        <w:rPr>
          <w:rFonts w:ascii="Times New Roman" w:hAnsi="Times New Roman" w:cs="Times New Roman"/>
          <w:sz w:val="24"/>
          <w:szCs w:val="24"/>
        </w:rPr>
      </w:pPr>
      <w:r>
        <w:rPr>
          <w:rFonts w:ascii="Times New Roman" w:hAnsi="Times New Roman" w:cs="Times New Roman"/>
          <w:sz w:val="24"/>
          <w:szCs w:val="24"/>
        </w:rPr>
        <w:t xml:space="preserve">Universidad Ignacio Agramonte </w:t>
      </w:r>
      <w:proofErr w:type="spellStart"/>
      <w:r>
        <w:rPr>
          <w:rFonts w:ascii="Times New Roman" w:hAnsi="Times New Roman" w:cs="Times New Roman"/>
          <w:sz w:val="24"/>
          <w:szCs w:val="24"/>
        </w:rPr>
        <w:t>Loynaz</w:t>
      </w:r>
      <w:proofErr w:type="spellEnd"/>
      <w:r>
        <w:rPr>
          <w:rFonts w:ascii="Times New Roman" w:hAnsi="Times New Roman" w:cs="Times New Roman"/>
          <w:sz w:val="24"/>
          <w:szCs w:val="24"/>
        </w:rPr>
        <w:t>. Camagüey, Cuba.</w:t>
      </w:r>
    </w:p>
    <w:p w14:paraId="3FEDD68D" w14:textId="77777777" w:rsidR="00D71519" w:rsidRDefault="00D71519">
      <w:pPr>
        <w:widowControl w:val="0"/>
        <w:spacing w:after="0" w:line="360" w:lineRule="auto"/>
        <w:ind w:left="426"/>
        <w:jc w:val="both"/>
        <w:rPr>
          <w:rFonts w:ascii="Times New Roman" w:hAnsi="Times New Roman" w:cs="Times New Roman"/>
          <w:sz w:val="24"/>
          <w:szCs w:val="24"/>
        </w:rPr>
      </w:pPr>
    </w:p>
    <w:p w14:paraId="224CA429" w14:textId="77777777" w:rsidR="00D71519" w:rsidRDefault="00000000">
      <w:pPr>
        <w:widowControl w:val="0"/>
        <w:spacing w:after="0" w:line="360"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rPr>
        <w:t>Clay</w:t>
      </w:r>
      <w:proofErr w:type="spellEnd"/>
      <w:r>
        <w:rPr>
          <w:rFonts w:ascii="Times New Roman" w:hAnsi="Times New Roman" w:cs="Times New Roman"/>
          <w:sz w:val="24"/>
          <w:szCs w:val="24"/>
        </w:rPr>
        <w:t xml:space="preserve"> Pérez Jiménez</w:t>
      </w:r>
      <w:r>
        <w:rPr>
          <w:rStyle w:val="Refdenotaalpie"/>
          <w:rFonts w:ascii="Times New Roman" w:hAnsi="Times New Roman" w:cs="Times New Roman"/>
          <w:sz w:val="24"/>
          <w:szCs w:val="24"/>
        </w:rPr>
        <w:footnoteReference w:id="3"/>
      </w:r>
    </w:p>
    <w:p w14:paraId="71427090" w14:textId="77777777" w:rsidR="00D71519" w:rsidRDefault="00000000">
      <w:pPr>
        <w:widowControl w:val="0"/>
        <w:spacing w:after="0" w:line="360" w:lineRule="auto"/>
        <w:ind w:left="426"/>
        <w:jc w:val="both"/>
        <w:rPr>
          <w:rFonts w:ascii="Times New Roman" w:hAnsi="Times New Roman" w:cs="Times New Roman"/>
          <w:sz w:val="24"/>
          <w:szCs w:val="24"/>
        </w:rPr>
      </w:pPr>
      <w:r>
        <w:rPr>
          <w:rFonts w:ascii="Times New Roman" w:hAnsi="Times New Roman" w:cs="Times New Roman"/>
          <w:i/>
          <w:iCs/>
          <w:sz w:val="24"/>
          <w:szCs w:val="24"/>
        </w:rPr>
        <w:t>Correo</w:t>
      </w:r>
      <w:r>
        <w:rPr>
          <w:rFonts w:ascii="Times New Roman" w:hAnsi="Times New Roman" w:cs="Times New Roman"/>
          <w:sz w:val="24"/>
          <w:szCs w:val="24"/>
        </w:rPr>
        <w:t xml:space="preserve">: perezjimenezclay@gmail.com </w:t>
      </w:r>
    </w:p>
    <w:p w14:paraId="1CE542F2" w14:textId="77777777" w:rsidR="00D71519" w:rsidRDefault="00000000">
      <w:pPr>
        <w:widowControl w:val="0"/>
        <w:spacing w:after="0" w:line="360" w:lineRule="auto"/>
        <w:ind w:left="426"/>
        <w:jc w:val="both"/>
        <w:rPr>
          <w:rFonts w:ascii="Times New Roman" w:hAnsi="Times New Roman" w:cs="Times New Roman"/>
          <w:sz w:val="24"/>
          <w:szCs w:val="24"/>
        </w:rPr>
      </w:pPr>
      <w:proofErr w:type="spellStart"/>
      <w:r>
        <w:rPr>
          <w:rFonts w:ascii="Times New Roman" w:hAnsi="Times New Roman" w:cs="Times New Roman"/>
          <w:i/>
          <w:iCs/>
          <w:sz w:val="24"/>
          <w:szCs w:val="24"/>
        </w:rPr>
        <w:t>Orcid</w:t>
      </w:r>
      <w:proofErr w:type="spellEnd"/>
      <w:r>
        <w:rPr>
          <w:rFonts w:ascii="Times New Roman" w:hAnsi="Times New Roman" w:cs="Times New Roman"/>
          <w:sz w:val="24"/>
          <w:szCs w:val="24"/>
        </w:rPr>
        <w:t>:  https://orcid.org/0000-0001-8392-2710</w:t>
      </w:r>
    </w:p>
    <w:p w14:paraId="2245F07E" w14:textId="77777777" w:rsidR="00D71519" w:rsidRDefault="00000000">
      <w:pPr>
        <w:widowControl w:val="0"/>
        <w:spacing w:after="0"/>
        <w:ind w:firstLineChars="150" w:firstLine="360"/>
        <w:rPr>
          <w:rFonts w:ascii="Times New Roman" w:hAnsi="Times New Roman" w:cs="Times New Roman"/>
          <w:sz w:val="24"/>
          <w:szCs w:val="24"/>
        </w:rPr>
      </w:pPr>
      <w:r>
        <w:rPr>
          <w:rFonts w:ascii="Times New Roman" w:hAnsi="Times New Roman" w:cs="Times New Roman"/>
          <w:sz w:val="24"/>
          <w:szCs w:val="24"/>
        </w:rPr>
        <w:t xml:space="preserve">Universidad Ignacio Agramonte </w:t>
      </w:r>
      <w:proofErr w:type="spellStart"/>
      <w:r>
        <w:rPr>
          <w:rFonts w:ascii="Times New Roman" w:hAnsi="Times New Roman" w:cs="Times New Roman"/>
          <w:sz w:val="24"/>
          <w:szCs w:val="24"/>
        </w:rPr>
        <w:t>Loynaz</w:t>
      </w:r>
      <w:proofErr w:type="spellEnd"/>
      <w:r>
        <w:rPr>
          <w:rFonts w:ascii="Times New Roman" w:hAnsi="Times New Roman" w:cs="Times New Roman"/>
          <w:sz w:val="24"/>
          <w:szCs w:val="24"/>
        </w:rPr>
        <w:t>. Camagüey, Cuba.</w:t>
      </w:r>
    </w:p>
    <w:p w14:paraId="7027DC8D" w14:textId="77777777" w:rsidR="00D71519" w:rsidRDefault="00D71519">
      <w:pPr>
        <w:widowControl w:val="0"/>
        <w:spacing w:after="0"/>
        <w:ind w:firstLineChars="150" w:firstLine="360"/>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D71519" w14:paraId="74D52598" w14:textId="77777777">
        <w:tc>
          <w:tcPr>
            <w:tcW w:w="2942" w:type="dxa"/>
            <w:shd w:val="clear" w:color="auto" w:fill="00B0F0"/>
          </w:tcPr>
          <w:p w14:paraId="4444F1B4" w14:textId="77777777" w:rsidR="00D71519"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14:paraId="23F95032" w14:textId="77777777" w:rsidR="00D71519"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2E8664C8" w14:textId="77777777" w:rsidR="00D71519"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D71519" w14:paraId="493890E2" w14:textId="77777777">
        <w:tc>
          <w:tcPr>
            <w:tcW w:w="2942" w:type="dxa"/>
          </w:tcPr>
          <w:p w14:paraId="3010295D" w14:textId="77777777" w:rsidR="00D71519"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13 de mayo de 2025</w:t>
            </w:r>
          </w:p>
        </w:tc>
        <w:tc>
          <w:tcPr>
            <w:tcW w:w="2943" w:type="dxa"/>
          </w:tcPr>
          <w:p w14:paraId="770F930C" w14:textId="77777777" w:rsidR="00D71519"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15 de agosto de 2025</w:t>
            </w:r>
          </w:p>
        </w:tc>
        <w:tc>
          <w:tcPr>
            <w:tcW w:w="2943" w:type="dxa"/>
          </w:tcPr>
          <w:p w14:paraId="2B893164" w14:textId="77777777" w:rsidR="00D71519"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septiembre de 2025</w:t>
            </w:r>
          </w:p>
        </w:tc>
      </w:tr>
    </w:tbl>
    <w:p w14:paraId="1A1B19DA" w14:textId="77777777" w:rsidR="00D71519" w:rsidRDefault="00000000">
      <w:pPr>
        <w:widowControl w:val="0"/>
        <w:spacing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lastRenderedPageBreak/>
        <w:t xml:space="preserve">Resumen </w:t>
      </w:r>
    </w:p>
    <w:p w14:paraId="1CBB7B51" w14:textId="77777777" w:rsidR="00D71519" w:rsidRDefault="00000000">
      <w:pPr>
        <w:widowControl w:val="0"/>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s-MX"/>
        </w:rPr>
        <w:t>Este estudio tuvo como propósito analizar cómo se concibe la superación profesional del docente del nivel primario para la formación y desarrollo de habilidades de preparación para la vida en alumnos con discapacidad auditiva. La investigación, de diseño cualitativo-cuantitativo, analizó fuentes científicas relevantes para modelar el proceso de superación de los referidos docentes de modo que su interacción con los alumnos con discapacidad auditiva fuera más efectiva en la formación y desarrollo de las habilidades para la vida por el valor que estas representan en la inclusión socio educativa de estos, ligado a la equiparación de oportunidades. Los resultados subrayaron la relevancia de vincular la superación profesional de los docentes con experiencias prácticas y fortalecer la formación y desarrollo de las referidas habilidades de los alumnos, lo cual optimiza tanto el aprendizaje como el desempeño como seres sociales. La estrategia ofrece una nueva mirada a la superación profesional del docente del nivel primario para la formación y desarrollo de habilidades de preparación para la vida en alumnos con discapacidad auditiva. Se emplearon métodos del nivel teórico, empírico y estadístico-matemáticos para la constatación de los resultados</w:t>
      </w:r>
      <w:r>
        <w:rPr>
          <w:rFonts w:ascii="Times New Roman" w:eastAsia="Calibri" w:hAnsi="Times New Roman" w:cs="Times New Roman"/>
          <w:sz w:val="24"/>
          <w:szCs w:val="24"/>
        </w:rPr>
        <w:t>.</w:t>
      </w:r>
    </w:p>
    <w:p w14:paraId="5F7691F7" w14:textId="77777777" w:rsidR="00D71519"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i/>
          <w:iCs/>
          <w:sz w:val="24"/>
          <w:szCs w:val="24"/>
          <w:lang w:val="es-MX"/>
        </w:rPr>
        <w:t>Palabras clave:</w:t>
      </w:r>
      <w:r>
        <w:rPr>
          <w:rFonts w:ascii="Times New Roman" w:eastAsia="Calibri" w:hAnsi="Times New Roman" w:cs="Times New Roman"/>
          <w:sz w:val="24"/>
          <w:szCs w:val="24"/>
          <w:lang w:val="es-MX"/>
        </w:rPr>
        <w:t xml:space="preserve"> Estrategia; superación profesional; docentes; habilidades para la vida; alumnos con discapacidad auditiva.</w:t>
      </w:r>
    </w:p>
    <w:p w14:paraId="62CA8BC4" w14:textId="77777777" w:rsidR="00D71519" w:rsidRDefault="00000000">
      <w:pPr>
        <w:widowControl w:val="0"/>
        <w:spacing w:line="360" w:lineRule="auto"/>
        <w:jc w:val="both"/>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Abstract</w:t>
      </w:r>
    </w:p>
    <w:p w14:paraId="0F60D2A5" w14:textId="77777777" w:rsidR="00D71519" w:rsidRDefault="00000000">
      <w:pPr>
        <w:widowControl w:val="0"/>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The purpose of this study was to analyze how primary school teacher professional development is conceived for the development and preparation of life skills in students with hearing impairments. The qualitative-quantitative research analyzed relevant scientific sources to model the development process of these teachers so that their interaction with students with hearing impairments would be more effective in the development and preparation of life skills, given the value these represent for their socio-educational inclusion linked to equal opportunities. The results underscored the </w:t>
      </w:r>
      <w:r>
        <w:rPr>
          <w:rFonts w:ascii="Times New Roman" w:eastAsia="Calibri" w:hAnsi="Times New Roman" w:cs="Times New Roman"/>
          <w:sz w:val="24"/>
          <w:szCs w:val="24"/>
          <w:lang w:val="en-US"/>
        </w:rPr>
        <w:lastRenderedPageBreak/>
        <w:t>importance of linking teachers' professional development with practical experiences and strengthening the development and preparation of these skills in students, which optimizes both learning and performance as social beings. The strategy offers a new perspective on the professional development of primary school teachers for the development and preparation of life skills in students with hearing impairments. Theoretical, empirical, and statistical-mathematical methods were used to verify the results.</w:t>
      </w:r>
    </w:p>
    <w:p w14:paraId="107DC1C3" w14:textId="77777777" w:rsidR="00D71519" w:rsidRDefault="00000000">
      <w:pPr>
        <w:widowControl w:val="0"/>
        <w:spacing w:line="360" w:lineRule="auto"/>
        <w:jc w:val="both"/>
        <w:rPr>
          <w:rFonts w:ascii="Times New Roman" w:eastAsia="Calibri" w:hAnsi="Times New Roman" w:cs="Times New Roman"/>
          <w:iCs/>
          <w:sz w:val="24"/>
          <w:szCs w:val="24"/>
          <w:lang w:val="en-US"/>
        </w:rPr>
      </w:pPr>
      <w:r>
        <w:rPr>
          <w:rFonts w:ascii="Times New Roman" w:eastAsia="Calibri" w:hAnsi="Times New Roman" w:cs="Times New Roman"/>
          <w:i/>
          <w:iCs/>
          <w:sz w:val="24"/>
          <w:szCs w:val="24"/>
          <w:lang w:val="en-US"/>
        </w:rPr>
        <w:t>Keywords:</w:t>
      </w:r>
      <w:r>
        <w:rPr>
          <w:rFonts w:ascii="Times New Roman" w:eastAsia="Calibri" w:hAnsi="Times New Roman" w:cs="Times New Roman"/>
          <w:sz w:val="24"/>
          <w:szCs w:val="24"/>
          <w:lang w:val="en-US"/>
        </w:rPr>
        <w:t xml:space="preserve"> Strategy; professional development; teachers; life skills; students with hearing impairments.</w:t>
      </w:r>
    </w:p>
    <w:p w14:paraId="437F03B2" w14:textId="77777777" w:rsidR="00D71519"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14:paraId="7ABDA3CB" w14:textId="77777777" w:rsidR="00D71519"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La calidad de la educación en el nivel primario depende en gran medida de la preparación y formación continua de los docentes, especialmente para atender a estudiantes con discapacidades, como la auditiva. La inclusión efectiva requiere que los maestros posean competencias específicas que les permitan adaptar sus prácticas pedagógicas y fomentar un aprendizaje significativo (García &amp; López, 2018). La capacitación en metodologías inclusivas y estrategias orientadas al desarrollo de habilidades para la vida favorece la participación activa de los alumnos y contribuye a crear ambientes educativos equitativos y efectivos.</w:t>
      </w:r>
    </w:p>
    <w:p w14:paraId="5841A4AC" w14:textId="77777777" w:rsidR="00D71519" w:rsidRDefault="00000000">
      <w:pPr>
        <w:widowControl w:val="0"/>
        <w:spacing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La superación profesional del docente del nivel primario es clave para garantizar una educación de calidad y atender adecuadamente a estudiantes con discapacidad auditiva. La actualización constante en recursos, metodologías y tecnologías asistidas fortalece sus competencias y promueve la autonomía, la comunicación y la integración social de los alumnos (Pérez &amp; Ramírez, 2019; Martínez, 2020). Así, la formación docente continua no solo mejora las prácticas pedagógicas, sino que también fomenta una actitud comprometida hacia la inclusión, consolidando la preparación de los estudiantes para enfrentar los desafíos del entorno escolar y social (Rodríguez &amp; Sánchez, 2021). De todo lo anterior, se puede señalar que el objetivo general de la estrategia es contribuir al </w:t>
      </w:r>
      <w:r>
        <w:rPr>
          <w:rFonts w:ascii="Times New Roman" w:eastAsia="Calibri" w:hAnsi="Times New Roman" w:cs="Times New Roman"/>
          <w:sz w:val="24"/>
          <w:szCs w:val="24"/>
          <w:lang w:val="es-MX"/>
        </w:rPr>
        <w:lastRenderedPageBreak/>
        <w:t>dominio de herramientas para el desarrollo de habilidades de preparación para la vida por parte del docente del nivel primario, sustentándose teóricamente en cada uno de los componentes propuestos.</w:t>
      </w:r>
    </w:p>
    <w:p w14:paraId="6957331F" w14:textId="77777777" w:rsidR="00D71519" w:rsidRDefault="00000000">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DESARROLLO</w:t>
      </w:r>
    </w:p>
    <w:p w14:paraId="515127E5" w14:textId="77777777" w:rsidR="00D71519" w:rsidRDefault="00000000">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La formación y desarrollo profesional de los docentes del nivel primario es esencial para garantizar una educación inclusiva y de calidad, especialmente en alumnos con discapacidad auditiva. La implementación de estrategias efectivas de superación profesional permite mejorar competencias pedagógicas y desarrollar habilidades que faciliten la preparación para la vida de los estudiantes, promoviendo su autonomía y participación activa (Flores &amp; García, 2020). La capacitación continua y actualización de conocimientos responden a las necesidades específicas de estos alumnos, favoreciendo entornos educativos inclusivos y equitativos (Ministerio de Educación, 2019). Diseñar estrategias que consideren las particularidades de la discapacidad auditiva fortalece la formación docente y contribuye a mejorar los resultados de aprendizaje y la calidad de vida de los estudiantes.</w:t>
      </w:r>
    </w:p>
    <w:p w14:paraId="31744ACB" w14:textId="77777777" w:rsidR="00D71519" w:rsidRDefault="00000000">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Los seres humanos requieren establecer relaciones con su entorno, lo que demanda habilidades de interacción social. La carencia de estas habilidades limita el desarrollo integral y el bienestar físico, mental y social, afectando la capacidad de alcanzar metas y participar activamente en la sociedad (Arévalo &amp; Mendoza, 2018). Según la Organización Mundial de la Salud (2017), más del 5% de la población mundial presenta pérdida auditiva, incluyendo 34 millones de alumnos; se estima que para 2050, una de cada diez personas sufrirá pérdida auditiva </w:t>
      </w:r>
      <w:proofErr w:type="spellStart"/>
      <w:r>
        <w:rPr>
          <w:rFonts w:ascii="Times New Roman" w:hAnsi="Times New Roman" w:cs="Times New Roman"/>
          <w:color w:val="000000"/>
          <w:sz w:val="24"/>
          <w:szCs w:val="24"/>
          <w:shd w:val="clear" w:color="auto" w:fill="FFFFFF"/>
        </w:rPr>
        <w:t>discapacitante</w:t>
      </w:r>
      <w:proofErr w:type="spellEnd"/>
      <w:r>
        <w:rPr>
          <w:rFonts w:ascii="Times New Roman" w:hAnsi="Times New Roman" w:cs="Times New Roman"/>
          <w:color w:val="000000"/>
          <w:sz w:val="24"/>
          <w:szCs w:val="24"/>
          <w:shd w:val="clear" w:color="auto" w:fill="FFFFFF"/>
        </w:rPr>
        <w:t xml:space="preserve"> (ONU, 2021).</w:t>
      </w:r>
    </w:p>
    <w:p w14:paraId="556615FA" w14:textId="77777777" w:rsidR="00D71519" w:rsidRDefault="00D71519">
      <w:pPr>
        <w:spacing w:after="0" w:line="360" w:lineRule="auto"/>
        <w:jc w:val="both"/>
        <w:rPr>
          <w:rFonts w:ascii="Times New Roman" w:hAnsi="Times New Roman" w:cs="Times New Roman"/>
          <w:color w:val="000000"/>
          <w:sz w:val="24"/>
          <w:szCs w:val="24"/>
          <w:shd w:val="clear" w:color="auto" w:fill="FFFFFF"/>
        </w:rPr>
      </w:pPr>
    </w:p>
    <w:p w14:paraId="4865F58E" w14:textId="77777777" w:rsidR="00D71519" w:rsidRDefault="00000000">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Las personas con discapacidad enfrentan mayores desigualdades en educación, salud y participación económica, especialmente mujeres, niños y adultos mayores (SIUBEN, 2018). La Convención sobre los Derechos de las Personas con Discapacidad (2020) señala que la discapacidad surge de la interacción entre la persona y su entorno, enfatizando la necesidad de estrategias educativas inclusivas. Organizaciones internacionales, como la OPS y agencias de la ONU, han </w:t>
      </w:r>
      <w:r>
        <w:rPr>
          <w:rFonts w:ascii="Times New Roman" w:hAnsi="Times New Roman" w:cs="Times New Roman"/>
          <w:color w:val="000000"/>
          <w:sz w:val="24"/>
          <w:szCs w:val="24"/>
          <w:shd w:val="clear" w:color="auto" w:fill="FFFFFF"/>
        </w:rPr>
        <w:lastRenderedPageBreak/>
        <w:t xml:space="preserve">impulsado políticas y leyes que promueven la participación activa de estos alumnos (Pérez &amp; </w:t>
      </w:r>
      <w:proofErr w:type="spellStart"/>
      <w:r>
        <w:rPr>
          <w:rFonts w:ascii="Times New Roman" w:hAnsi="Times New Roman" w:cs="Times New Roman"/>
          <w:color w:val="000000"/>
          <w:sz w:val="24"/>
          <w:szCs w:val="24"/>
          <w:shd w:val="clear" w:color="auto" w:fill="FFFFFF"/>
        </w:rPr>
        <w:t>Filella</w:t>
      </w:r>
      <w:proofErr w:type="spellEnd"/>
      <w:r>
        <w:rPr>
          <w:rFonts w:ascii="Times New Roman" w:hAnsi="Times New Roman" w:cs="Times New Roman"/>
          <w:color w:val="000000"/>
          <w:sz w:val="24"/>
          <w:szCs w:val="24"/>
          <w:shd w:val="clear" w:color="auto" w:fill="FFFFFF"/>
        </w:rPr>
        <w:t>, 2019). Estas iniciativas también generan oportunidades para que los docentes fortalezcan sus competencias y adopten prácticas educativas más efectivas.</w:t>
      </w:r>
    </w:p>
    <w:p w14:paraId="0A8A2B58" w14:textId="77777777" w:rsidR="00D71519" w:rsidRDefault="00000000">
      <w:pPr>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El desarrollo de habilidades para la vida es fundamental para la autonomía y competencia social del alumno, iniciándose desde el hogar y la escuela; factores como pobreza, desigualdad o abandono pueden poner en riesgo este proceso (Montero &amp; Gómez, 2021). Los desajustes en el desarrollo psicosocial de alumnos con discapacidad auditiva, muchas veces derivados de negligencia familiar, afectan su competencia social y preparación para la vida. Por ello, la educación en habilidades de preparación para la vida se vuelve prioritaria, reconociendo que muchos alumnos no cuentan con las destrezas necesarias para enfrentar los desafíos contemporáneos (OMS, 2017). Los estudiantes con discapacidad auditiva requieren atención específica para promover su participación, igualdad de oportunidades y desarrollo integral, facilitando una expresión plena de su personalidad y un uso óptimo de sus recursos internos y externos.</w:t>
      </w:r>
    </w:p>
    <w:p w14:paraId="71AD91E1" w14:textId="77777777" w:rsidR="00D71519" w:rsidRDefault="00000000">
      <w:pPr>
        <w:pStyle w:val="Ttulo1"/>
        <w:tabs>
          <w:tab w:val="left" w:pos="708"/>
        </w:tabs>
        <w:spacing w:line="360" w:lineRule="auto"/>
        <w:rPr>
          <w:rFonts w:ascii="Times New Roman" w:hAnsi="Times New Roman" w:cs="Times New Roman"/>
          <w:sz w:val="24"/>
          <w:szCs w:val="24"/>
        </w:rPr>
      </w:pPr>
      <w:r>
        <w:rPr>
          <w:rFonts w:ascii="Times New Roman" w:hAnsi="Times New Roman" w:cs="Times New Roman"/>
          <w:sz w:val="24"/>
          <w:szCs w:val="24"/>
        </w:rPr>
        <w:t xml:space="preserve">MATERIALES Y MÉTODOS </w:t>
      </w:r>
    </w:p>
    <w:p w14:paraId="2AC24672" w14:textId="77777777" w:rsidR="00D71519" w:rsidRDefault="00000000">
      <w:pPr>
        <w:tabs>
          <w:tab w:val="left" w:pos="708"/>
        </w:tabs>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El  presente</w:t>
      </w:r>
      <w:proofErr w:type="gramEnd"/>
      <w:r>
        <w:rPr>
          <w:rFonts w:ascii="Times New Roman" w:hAnsi="Times New Roman" w:cs="Times New Roman"/>
          <w:sz w:val="24"/>
          <w:szCs w:val="24"/>
        </w:rPr>
        <w:t xml:space="preserve"> estudio utilizó el método dialéctico materialista como base general, permitiendo analizar el fenómeno en su totalidad y contexto, considerando contradicciones, cambios y dinámicas. Se combinaron métodos teóricos, empíricos y estadísticos descriptivos, destacando el análisis documental para acercarse a los referentes teóricos sobre superación profesional docente y sus vínculos causales, así como los métodos de análisis y síntesis para identificar regularidades que sustentan una estrategia de superación profesional para docentes del nivel primario, orientada al desarrollo de habilidades de preparación para la vida en alumnos con discapacidad auditiva. La modelación sistémica estructural funcional fue empleada para estructurar la estrategia, mientras que la encuesta y el inventario de problemas docentes permitieron constatar conocimientos, insuficiencias y potencialidades de los docentes que trabajan con estos estudiantes.</w:t>
      </w:r>
    </w:p>
    <w:p w14:paraId="7A1557DB" w14:textId="77777777" w:rsidR="00D71519" w:rsidRDefault="00000000">
      <w:pPr>
        <w:tabs>
          <w:tab w:val="left" w:pos="70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Asimismo, se realizaron talleres de opinión crítica y construcción colectiva para valorar teóricamente la estrategia propuesta. Para comprobar su valor práctico, se implementó un </w:t>
      </w:r>
      <w:proofErr w:type="spellStart"/>
      <w:r>
        <w:rPr>
          <w:rFonts w:ascii="Times New Roman" w:hAnsi="Times New Roman" w:cs="Times New Roman"/>
          <w:sz w:val="24"/>
          <w:szCs w:val="24"/>
        </w:rPr>
        <w:t>pre-</w:t>
      </w:r>
      <w:r>
        <w:rPr>
          <w:rFonts w:ascii="Times New Roman" w:hAnsi="Times New Roman" w:cs="Times New Roman"/>
          <w:sz w:val="24"/>
          <w:szCs w:val="24"/>
        </w:rPr>
        <w:lastRenderedPageBreak/>
        <w:t>experimento</w:t>
      </w:r>
      <w:proofErr w:type="spellEnd"/>
      <w:r>
        <w:rPr>
          <w:rFonts w:ascii="Times New Roman" w:hAnsi="Times New Roman" w:cs="Times New Roman"/>
          <w:sz w:val="24"/>
          <w:szCs w:val="24"/>
        </w:rPr>
        <w:t xml:space="preserve">, utilizando métodos estadísticos como la </w:t>
      </w:r>
      <w:proofErr w:type="spellStart"/>
      <w:r>
        <w:rPr>
          <w:rFonts w:ascii="Times New Roman" w:hAnsi="Times New Roman" w:cs="Times New Roman"/>
          <w:sz w:val="24"/>
          <w:szCs w:val="24"/>
        </w:rPr>
        <w:t>Dócima</w:t>
      </w:r>
      <w:proofErr w:type="spellEnd"/>
      <w:r>
        <w:rPr>
          <w:rFonts w:ascii="Times New Roman" w:hAnsi="Times New Roman" w:cs="Times New Roman"/>
          <w:sz w:val="24"/>
          <w:szCs w:val="24"/>
        </w:rPr>
        <w:t xml:space="preserve"> de Kolmogórov-Smirnov, cálculo porcentual y media aritmética, con el apoyo del software SPSS versión 20.0, con el fin de evidenciar cambios significativos en los resultados obtenidos y validar la efectividad de la estrategia en la formación y desarrollo de habilidades de preparación para la vida en alumnos con discapacidad auditiva.</w:t>
      </w:r>
    </w:p>
    <w:p w14:paraId="1FD86199" w14:textId="77777777" w:rsidR="00D71519" w:rsidRDefault="00000000">
      <w:pPr>
        <w:pStyle w:val="Ttulo1"/>
        <w:tabs>
          <w:tab w:val="left" w:pos="708"/>
        </w:tabs>
        <w:spacing w:line="360" w:lineRule="auto"/>
        <w:rPr>
          <w:rFonts w:ascii="Times New Roman" w:hAnsi="Times New Roman" w:cs="Times New Roman"/>
          <w:sz w:val="24"/>
          <w:szCs w:val="24"/>
        </w:rPr>
      </w:pPr>
      <w:r>
        <w:rPr>
          <w:rFonts w:ascii="Times New Roman" w:hAnsi="Times New Roman" w:cs="Times New Roman"/>
          <w:sz w:val="24"/>
          <w:szCs w:val="24"/>
        </w:rPr>
        <w:t xml:space="preserve">RESULTADOS-DISCUSIÓN </w:t>
      </w:r>
    </w:p>
    <w:p w14:paraId="4B24F9EE" w14:textId="77777777" w:rsidR="00D71519" w:rsidRDefault="00000000">
      <w:pPr>
        <w:tabs>
          <w:tab w:val="left" w:pos="708"/>
        </w:tabs>
        <w:spacing w:after="0" w:line="360" w:lineRule="auto"/>
        <w:ind w:right="51"/>
        <w:jc w:val="both"/>
        <w:rPr>
          <w:rFonts w:ascii="Times New Roman" w:hAnsi="Times New Roman" w:cs="Times New Roman"/>
          <w:sz w:val="24"/>
          <w:szCs w:val="24"/>
        </w:rPr>
      </w:pPr>
      <w:r>
        <w:rPr>
          <w:rFonts w:ascii="Times New Roman" w:hAnsi="Times New Roman" w:cs="Times New Roman"/>
          <w:sz w:val="24"/>
          <w:szCs w:val="24"/>
        </w:rPr>
        <w:t>El diagnóstico inicial sobre la superación profesional del docente del nivel primario para la formación y desarrollo de habilidades de preparación para la vida en alumnos con discapacidad auditiva se enfocó en las dimensiones cognitiva, instrumental y actitudinal, evaluando los conocimientos, desempeño y disposición de los docentes (Flores &amp; García, 2020). La muestra estuvo conformada por 10 docentes de centros educativos inclusivos y aulas específicas en Barahona, Bani y Azua, República Dominicana, seleccionados por criterios de experiencia, formación universitaria y trabajo con alumnos con discapacidad auditiva. Los resultados revelaron carencias formativas significativas, evidenciando que la mayoría de los docentes no había recibido preparación específica en habilidades de preparación para la vida ni en estrategias inclusivas, lo que afectaba su desempeño profesional y la atención efectiva de los alumnos (Ministerio de Educación, 2019).</w:t>
      </w:r>
    </w:p>
    <w:p w14:paraId="64950703" w14:textId="77777777" w:rsidR="00D71519" w:rsidRDefault="00D71519">
      <w:pPr>
        <w:tabs>
          <w:tab w:val="left" w:pos="708"/>
        </w:tabs>
        <w:spacing w:after="0" w:line="360" w:lineRule="auto"/>
        <w:ind w:right="51"/>
        <w:jc w:val="both"/>
        <w:rPr>
          <w:rFonts w:ascii="Times New Roman" w:hAnsi="Times New Roman" w:cs="Times New Roman"/>
          <w:sz w:val="24"/>
          <w:szCs w:val="24"/>
        </w:rPr>
      </w:pPr>
    </w:p>
    <w:p w14:paraId="443AD8FA" w14:textId="77777777" w:rsidR="00D71519" w:rsidRDefault="00000000">
      <w:pPr>
        <w:tabs>
          <w:tab w:val="left" w:pos="708"/>
        </w:tabs>
        <w:spacing w:after="0" w:line="360" w:lineRule="auto"/>
        <w:ind w:right="51"/>
        <w:jc w:val="both"/>
        <w:rPr>
          <w:rFonts w:ascii="Times New Roman" w:hAnsi="Times New Roman" w:cs="Times New Roman"/>
          <w:sz w:val="24"/>
          <w:szCs w:val="24"/>
        </w:rPr>
      </w:pPr>
      <w:r>
        <w:rPr>
          <w:rFonts w:ascii="Times New Roman" w:hAnsi="Times New Roman" w:cs="Times New Roman"/>
          <w:sz w:val="24"/>
          <w:szCs w:val="24"/>
        </w:rPr>
        <w:t>En la dimensión cognitiva, los resultados mostraron un desconocimiento generalizado sobre las habilidades de preparación para la vida, la discapacidad auditiva y la inclusión socioeducativa y laboral. Solo un docente obtuvo evaluación “regular” en conocimiento de habilidades para la vida, mientras que el 90% restante fue evaluado como “mal” (Flores &amp; García, 2020). Respecto al conocimiento sobre discapacidad auditiva, el 50% obtuvo evaluación “bien”, el 20% “regular” y el 30% “mal”, mientras que, sobre inclusión socioeducativa y laboral, solo un docente alcanzó “bien”, dos fueron “regulares” y siete “mal”, evidenciando deficiencias en los conocimientos fundamentales para la atención inclusiva.</w:t>
      </w:r>
    </w:p>
    <w:p w14:paraId="20A2D553" w14:textId="77777777" w:rsidR="00D71519" w:rsidRDefault="00000000">
      <w:pPr>
        <w:tabs>
          <w:tab w:val="left" w:pos="708"/>
        </w:tabs>
        <w:spacing w:after="0" w:line="360" w:lineRule="auto"/>
        <w:ind w:right="51"/>
        <w:jc w:val="both"/>
        <w:rPr>
          <w:rFonts w:ascii="Times New Roman" w:hAnsi="Times New Roman" w:cs="Times New Roman"/>
          <w:sz w:val="24"/>
          <w:szCs w:val="24"/>
        </w:rPr>
      </w:pPr>
      <w:r>
        <w:rPr>
          <w:rFonts w:ascii="Times New Roman" w:hAnsi="Times New Roman" w:cs="Times New Roman"/>
          <w:sz w:val="24"/>
          <w:szCs w:val="24"/>
        </w:rPr>
        <w:lastRenderedPageBreak/>
        <w:t>En la dimensión instrumental, vinculada con la planificación y ejecución del trabajo a favor del desarrollo de habilidades para la vida, los resultados fueron igualmente preocupantes. El 90% de los docentes mostró desempeño profesional deficiente en la planificación y ejecución de acciones para fomentar estas habilidades, mientras que solo un docente obtuvo evaluación “regular” (Flores &amp; García, 2020). Esto demuestra que los escasos conocimientos teóricos se traducen en dificultades prácticas para implementar estrategias efectivas en el aula.</w:t>
      </w:r>
    </w:p>
    <w:p w14:paraId="21DE9736" w14:textId="77777777" w:rsidR="00D71519" w:rsidRDefault="00000000">
      <w:pPr>
        <w:tabs>
          <w:tab w:val="left" w:pos="708"/>
        </w:tabs>
        <w:spacing w:after="0" w:line="360" w:lineRule="auto"/>
        <w:ind w:right="51"/>
        <w:jc w:val="both"/>
        <w:rPr>
          <w:rFonts w:ascii="Times New Roman" w:hAnsi="Times New Roman" w:cs="Times New Roman"/>
          <w:sz w:val="24"/>
          <w:szCs w:val="24"/>
        </w:rPr>
      </w:pPr>
      <w:r>
        <w:rPr>
          <w:rFonts w:ascii="Times New Roman" w:hAnsi="Times New Roman" w:cs="Times New Roman"/>
          <w:sz w:val="24"/>
          <w:szCs w:val="24"/>
        </w:rPr>
        <w:t>Por su parte, la dimensión actitudinal reflejó un interés moderado de los docentes en buscar información y mejorar la formación profesional. En cuanto a la búsqueda de información sobre habilidades para la vida, el 90% de los docentes fue evaluado como “regular” y solo un docente como “bien”; en la disposición para transformar la enseñanza hacia la inclusión socioeducativa y laboral, el 30% mostró disposición adecuada y el 70% evaluación “regular” (Flores &amp; García, 2020). Este hallazgo indica que, aunque existe cierto interés por mejorar, aún persisten limitaciones significativas en la motivación y compromiso hacia la formación profesional continua.</w:t>
      </w:r>
    </w:p>
    <w:p w14:paraId="735BC616" w14:textId="77777777" w:rsidR="00D71519" w:rsidRDefault="00000000">
      <w:pPr>
        <w:tabs>
          <w:tab w:val="left" w:pos="708"/>
        </w:tabs>
        <w:spacing w:after="0" w:line="360" w:lineRule="auto"/>
        <w:ind w:right="51"/>
        <w:jc w:val="both"/>
        <w:rPr>
          <w:rFonts w:ascii="Times New Roman" w:hAnsi="Times New Roman" w:cs="Times New Roman"/>
          <w:sz w:val="24"/>
          <w:szCs w:val="24"/>
        </w:rPr>
      </w:pPr>
      <w:r>
        <w:rPr>
          <w:rFonts w:ascii="Times New Roman" w:hAnsi="Times New Roman" w:cs="Times New Roman"/>
          <w:sz w:val="24"/>
          <w:szCs w:val="24"/>
        </w:rPr>
        <w:t>En términos generales, el análisis integral de los resultados evidencia insuficiencias en la superación profesional de los docentes del nivel primario en relación con la formación y desarrollo de habilidades de preparación para la vida en alumnos con discapacidad auditiva. Los aspectos poco logrados incluyen el interés limitado en la búsqueda de información sobre estrategias pedagógicas inclusivas, mientras que los aspectos no logrados comprenden escasos conocimientos sobre habilidades para la vida, discapacidad auditiva e inclusión, así como un desempeño profesional ineficaz en la planificación y ejecución de actividades educativas orientadas al desarrollo integral de los alumnos (Ministerio de Educación, 2019; Flores &amp; García, 2020).</w:t>
      </w:r>
    </w:p>
    <w:p w14:paraId="22CB212C" w14:textId="77777777" w:rsidR="00D71519" w:rsidRDefault="00000000">
      <w:pPr>
        <w:tabs>
          <w:tab w:val="left" w:pos="708"/>
        </w:tabs>
        <w:spacing w:after="0" w:line="360" w:lineRule="auto"/>
        <w:ind w:right="51"/>
        <w:jc w:val="both"/>
        <w:rPr>
          <w:rFonts w:ascii="Times New Roman" w:hAnsi="Times New Roman" w:cs="Times New Roman"/>
          <w:sz w:val="24"/>
          <w:szCs w:val="24"/>
        </w:rPr>
      </w:pPr>
      <w:r>
        <w:rPr>
          <w:rFonts w:ascii="Times New Roman" w:hAnsi="Times New Roman" w:cs="Times New Roman"/>
          <w:sz w:val="24"/>
          <w:szCs w:val="24"/>
        </w:rPr>
        <w:t xml:space="preserve">Estos hallazgos subrayan la necesidad urgente de implementar estrategias de superación profesional que fortalezcan los conocimientos, competencias y actitudes de los docentes, permitiéndoles diseñar intervenciones efectivas y contextualizadas que promuevan la autonomía, participación social y preparación integral de los alumnos con discapacidad auditiva (Pérez &amp; </w:t>
      </w:r>
      <w:proofErr w:type="spellStart"/>
      <w:r>
        <w:rPr>
          <w:rFonts w:ascii="Times New Roman" w:hAnsi="Times New Roman" w:cs="Times New Roman"/>
          <w:sz w:val="24"/>
          <w:szCs w:val="24"/>
        </w:rPr>
        <w:t>Filella</w:t>
      </w:r>
      <w:proofErr w:type="spellEnd"/>
      <w:r>
        <w:rPr>
          <w:rFonts w:ascii="Times New Roman" w:hAnsi="Times New Roman" w:cs="Times New Roman"/>
          <w:sz w:val="24"/>
          <w:szCs w:val="24"/>
        </w:rPr>
        <w:t xml:space="preserve">, 2019; Montero &amp; Gómez, 2021). La evidencia confirma que la actualización constante, el </w:t>
      </w:r>
      <w:r>
        <w:rPr>
          <w:rFonts w:ascii="Times New Roman" w:hAnsi="Times New Roman" w:cs="Times New Roman"/>
          <w:sz w:val="24"/>
          <w:szCs w:val="24"/>
        </w:rPr>
        <w:lastRenderedPageBreak/>
        <w:t>acompañamiento pedagógico y el desarrollo de habilidades prácticas son fundamentales para garantizar una educación inclusiva, equitativa y de calidad.</w:t>
      </w:r>
    </w:p>
    <w:p w14:paraId="65C44D1B" w14:textId="77777777" w:rsidR="00D71519" w:rsidRDefault="00000000">
      <w:pPr>
        <w:tabs>
          <w:tab w:val="left" w:pos="708"/>
        </w:tabs>
        <w:spacing w:after="0" w:line="360" w:lineRule="auto"/>
        <w:ind w:right="51"/>
        <w:jc w:val="both"/>
        <w:rPr>
          <w:rFonts w:ascii="Times New Roman" w:hAnsi="Times New Roman" w:cs="Times New Roman"/>
          <w:bCs/>
          <w:sz w:val="24"/>
          <w:szCs w:val="24"/>
          <w:lang w:val="es-EC"/>
        </w:rPr>
      </w:pPr>
      <w:r>
        <w:rPr>
          <w:rFonts w:ascii="Times New Roman" w:hAnsi="Times New Roman" w:cs="Times New Roman"/>
          <w:bCs/>
          <w:sz w:val="24"/>
          <w:szCs w:val="24"/>
        </w:rPr>
        <w:t xml:space="preserve">Estructura y contenido de la estrategia para la </w:t>
      </w:r>
      <w:r>
        <w:rPr>
          <w:rFonts w:ascii="Times New Roman" w:hAnsi="Times New Roman" w:cs="Times New Roman"/>
          <w:bCs/>
          <w:sz w:val="24"/>
          <w:szCs w:val="24"/>
          <w:lang w:val="es-EC"/>
        </w:rPr>
        <w:t xml:space="preserve">superación </w:t>
      </w:r>
      <w:r>
        <w:rPr>
          <w:rFonts w:ascii="Times New Roman" w:hAnsi="Times New Roman" w:cs="Times New Roman"/>
          <w:bCs/>
          <w:sz w:val="24"/>
          <w:szCs w:val="24"/>
        </w:rPr>
        <w:t>profesional del docente del nivel primario</w:t>
      </w:r>
      <w:r>
        <w:rPr>
          <w:rFonts w:ascii="Times New Roman" w:hAnsi="Times New Roman" w:cs="Times New Roman"/>
          <w:bCs/>
          <w:sz w:val="24"/>
          <w:szCs w:val="24"/>
          <w:lang w:val="es-EC"/>
        </w:rPr>
        <w:t xml:space="preserve"> para la formación y desarrollo de habilidades de preparación para la vida en alumnos con discapacidad auditiva del segundo ciclo del nivel primario.</w:t>
      </w:r>
    </w:p>
    <w:p w14:paraId="36CEE086" w14:textId="77777777" w:rsidR="00D71519" w:rsidRDefault="00000000">
      <w:pPr>
        <w:tabs>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sz w:val="24"/>
          <w:szCs w:val="24"/>
          <w:lang w:val="es-DO"/>
        </w:rPr>
        <w:t>Diseñar una estrategia constituye una respuesta sistemática a un problema identificado, orientada a generar mejoras, innovación y efectividad en los procesos de enseñanza-aprendizaje, cuando los métodos anteriores han sido insuficientes (Sierra, 2020, p.5). En este sentido, la estrategia propuesta para la superación profesional del docente del nivel primario tiene como propósito fundamental fortalecer sus competencias para la formación y desarrollo de habilidades de preparación para la vida en alumnos con discapacidad auditiva, considerando las necesidades educativas y las características específicas de este grupo de estudiantes.</w:t>
      </w:r>
    </w:p>
    <w:p w14:paraId="398834BE" w14:textId="77777777" w:rsidR="00D71519" w:rsidRDefault="00000000">
      <w:pPr>
        <w:tabs>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sz w:val="24"/>
          <w:szCs w:val="24"/>
          <w:lang w:val="es-DO"/>
        </w:rPr>
        <w:t>Los referentes teóricos que sustentan la estrategia incluyen las contribuciones de Gómez (2019), González (2020), Montero (2021), Rodríguez (2024), Serrano (2016) y Taro (2019), quienes coinciden en que la superación profesional requiere un enfoque integral que integre objetivos a corto, mediano y largo plazo, priorizando la mejora del desempeño docente y la implementación de prácticas efectivas para favorecer el aprendizaje de los alumnos. La estrategia se concibe no solo como un conjunto de acciones pedagógicas, sino como un proceso de transformación integral que vincula teoría y práctica, promoviendo cambios actitudinales, cognitivos y procedimentales en los docentes.</w:t>
      </w:r>
    </w:p>
    <w:p w14:paraId="395C427A" w14:textId="77777777" w:rsidR="00D71519" w:rsidRDefault="00000000">
      <w:pPr>
        <w:tabs>
          <w:tab w:val="left" w:pos="708"/>
        </w:tabs>
        <w:spacing w:after="0" w:line="360" w:lineRule="auto"/>
        <w:ind w:right="51"/>
        <w:jc w:val="both"/>
        <w:rPr>
          <w:rFonts w:ascii="Times New Roman" w:hAnsi="Times New Roman" w:cs="Times New Roman"/>
          <w:b/>
          <w:bCs/>
          <w:sz w:val="24"/>
          <w:szCs w:val="24"/>
          <w:lang w:val="es-DO"/>
        </w:rPr>
      </w:pPr>
      <w:r>
        <w:rPr>
          <w:rFonts w:ascii="Times New Roman" w:hAnsi="Times New Roman" w:cs="Times New Roman"/>
          <w:b/>
          <w:bCs/>
          <w:sz w:val="24"/>
          <w:szCs w:val="24"/>
          <w:lang w:val="es-DO"/>
        </w:rPr>
        <w:t>Principios y rasgos distintivos de la estrategia</w:t>
      </w:r>
    </w:p>
    <w:p w14:paraId="236F19EA" w14:textId="77777777" w:rsidR="00D71519" w:rsidRDefault="00000000">
      <w:pPr>
        <w:tabs>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sz w:val="24"/>
          <w:szCs w:val="24"/>
          <w:lang w:val="es-DO"/>
        </w:rPr>
        <w:t>La estrategia se fundamenta en principios que garantizan su pertinencia y efectividad:</w:t>
      </w:r>
    </w:p>
    <w:p w14:paraId="7841E671" w14:textId="77777777" w:rsidR="00D71519" w:rsidRDefault="00000000">
      <w:pPr>
        <w:numPr>
          <w:ilvl w:val="0"/>
          <w:numId w:val="1"/>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Flexibilidad:</w:t>
      </w:r>
      <w:r>
        <w:rPr>
          <w:rFonts w:ascii="Times New Roman" w:hAnsi="Times New Roman" w:cs="Times New Roman"/>
          <w:sz w:val="24"/>
          <w:szCs w:val="24"/>
          <w:lang w:val="es-DO"/>
        </w:rPr>
        <w:t xml:space="preserve"> Se adapta a las necesidades individuales de docentes y alumnos, permitiendo la planificación y ejecución personalizada de actividades, atendiendo a diferencias cognitivas, afectivas y contextuales. Esta flexibilidad asegura que cada docente pueda recibir la orientación y recursos que requiere para mejorar su desempeño.</w:t>
      </w:r>
    </w:p>
    <w:p w14:paraId="13328559" w14:textId="77777777" w:rsidR="00D71519" w:rsidRDefault="00000000">
      <w:pPr>
        <w:numPr>
          <w:ilvl w:val="0"/>
          <w:numId w:val="1"/>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lastRenderedPageBreak/>
        <w:t>Objetividad:</w:t>
      </w:r>
      <w:r>
        <w:rPr>
          <w:rFonts w:ascii="Times New Roman" w:hAnsi="Times New Roman" w:cs="Times New Roman"/>
          <w:sz w:val="24"/>
          <w:szCs w:val="24"/>
          <w:lang w:val="es-DO"/>
        </w:rPr>
        <w:t xml:space="preserve"> Responde a problemas reales y a metas concretas, garantizando que los objetivos de la estrategia sean alcanzables y medibles en tiempo y espacio.</w:t>
      </w:r>
    </w:p>
    <w:p w14:paraId="14326A65" w14:textId="77777777" w:rsidR="00D71519" w:rsidRDefault="00000000">
      <w:pPr>
        <w:numPr>
          <w:ilvl w:val="0"/>
          <w:numId w:val="1"/>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Contextualización:</w:t>
      </w:r>
      <w:r>
        <w:rPr>
          <w:rFonts w:ascii="Times New Roman" w:hAnsi="Times New Roman" w:cs="Times New Roman"/>
          <w:sz w:val="24"/>
          <w:szCs w:val="24"/>
          <w:lang w:val="es-DO"/>
        </w:rPr>
        <w:t xml:space="preserve"> La estrategia se ajusta al entorno en el que se desarrolla la enseñanza, considerando las características del alumnado, el contexto escolar y las condiciones socioculturales, de manera que las intervenciones sean pertinentes y efectivas.</w:t>
      </w:r>
    </w:p>
    <w:p w14:paraId="6D286DF8" w14:textId="77777777" w:rsidR="00D71519" w:rsidRDefault="00000000">
      <w:pPr>
        <w:numPr>
          <w:ilvl w:val="0"/>
          <w:numId w:val="1"/>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Teórico-metodológica:</w:t>
      </w:r>
      <w:r>
        <w:rPr>
          <w:rFonts w:ascii="Times New Roman" w:hAnsi="Times New Roman" w:cs="Times New Roman"/>
          <w:sz w:val="24"/>
          <w:szCs w:val="24"/>
          <w:lang w:val="es-DO"/>
        </w:rPr>
        <w:t xml:space="preserve"> Cada etapa y componente de la estrategia se articula en función de fundamentos teóricos y metodológicos, proporcionando orientación clara para la práctica profesional y asegurando la coherencia en la planificación, ejecución y evaluación de las actividades.</w:t>
      </w:r>
    </w:p>
    <w:p w14:paraId="430FB5A9" w14:textId="77777777" w:rsidR="00D71519" w:rsidRDefault="00000000">
      <w:pPr>
        <w:numPr>
          <w:ilvl w:val="0"/>
          <w:numId w:val="1"/>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Diversidad y dinamismo:</w:t>
      </w:r>
      <w:r>
        <w:rPr>
          <w:rFonts w:ascii="Times New Roman" w:hAnsi="Times New Roman" w:cs="Times New Roman"/>
          <w:sz w:val="24"/>
          <w:szCs w:val="24"/>
          <w:lang w:val="es-DO"/>
        </w:rPr>
        <w:t xml:space="preserve"> Reconoce la heterogeneidad de los docentes y alumnos, permitiendo variaciones creativas y adaptaciones que potencien la participación y el aprendizaje significativo.</w:t>
      </w:r>
    </w:p>
    <w:p w14:paraId="4CB8E3E5" w14:textId="77777777" w:rsidR="00D71519" w:rsidRDefault="00000000">
      <w:pPr>
        <w:numPr>
          <w:ilvl w:val="0"/>
          <w:numId w:val="1"/>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Vivencial e interactiva:</w:t>
      </w:r>
      <w:r>
        <w:rPr>
          <w:rFonts w:ascii="Times New Roman" w:hAnsi="Times New Roman" w:cs="Times New Roman"/>
          <w:sz w:val="24"/>
          <w:szCs w:val="24"/>
          <w:lang w:val="es-DO"/>
        </w:rPr>
        <w:t xml:space="preserve"> Se valoran las experiencias previas de los docentes y alumnos, promoviendo la interacción activa, el aprendizaje cooperativo y la integración de los aspectos afectivos, cognitivos y actitudinales.</w:t>
      </w:r>
    </w:p>
    <w:p w14:paraId="6C0B9750" w14:textId="77777777" w:rsidR="00D71519" w:rsidRDefault="00000000">
      <w:pPr>
        <w:numPr>
          <w:ilvl w:val="0"/>
          <w:numId w:val="1"/>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Actualización profesional:</w:t>
      </w:r>
      <w:r>
        <w:rPr>
          <w:rFonts w:ascii="Times New Roman" w:hAnsi="Times New Roman" w:cs="Times New Roman"/>
          <w:sz w:val="24"/>
          <w:szCs w:val="24"/>
          <w:lang w:val="es-DO"/>
        </w:rPr>
        <w:t xml:space="preserve"> Incluye los avances recientes en formación docente y desarrollo de habilidades para la vida, garantizando que los participantes accedan a conocimientos y herramientas contemporáneas y pertinentes.</w:t>
      </w:r>
    </w:p>
    <w:p w14:paraId="13B8D113" w14:textId="77777777" w:rsidR="00D71519" w:rsidRDefault="00000000">
      <w:pPr>
        <w:tabs>
          <w:tab w:val="left" w:pos="708"/>
        </w:tabs>
        <w:spacing w:after="0" w:line="360" w:lineRule="auto"/>
        <w:ind w:right="51"/>
        <w:jc w:val="both"/>
        <w:rPr>
          <w:rFonts w:ascii="Times New Roman" w:hAnsi="Times New Roman" w:cs="Times New Roman"/>
          <w:b/>
          <w:bCs/>
          <w:sz w:val="24"/>
          <w:szCs w:val="24"/>
          <w:lang w:val="es-DO"/>
        </w:rPr>
      </w:pPr>
      <w:r>
        <w:rPr>
          <w:rFonts w:ascii="Times New Roman" w:hAnsi="Times New Roman" w:cs="Times New Roman"/>
          <w:b/>
          <w:bCs/>
          <w:sz w:val="24"/>
          <w:szCs w:val="24"/>
          <w:lang w:val="es-DO"/>
        </w:rPr>
        <w:t>Etapas de la estrategia</w:t>
      </w:r>
    </w:p>
    <w:p w14:paraId="343986DE" w14:textId="77777777" w:rsidR="00D71519" w:rsidRDefault="00000000">
      <w:pPr>
        <w:tabs>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sz w:val="24"/>
          <w:szCs w:val="24"/>
          <w:lang w:val="es-DO"/>
        </w:rPr>
        <w:t>La estrategia se organiza en cuatro etapas esenciales: diagnóstico, planeación y organización, implementación y evaluación, articuladas de manera dialéctica para garantizar coherencia y progresión en el aprendizaje del docente.</w:t>
      </w:r>
    </w:p>
    <w:p w14:paraId="1DF7B8A2" w14:textId="77777777" w:rsidR="00D71519" w:rsidRDefault="00000000">
      <w:pPr>
        <w:tabs>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Primera etapa: Diagnóstico de necesidades de superación profesional</w:t>
      </w:r>
    </w:p>
    <w:p w14:paraId="4372EB5A" w14:textId="77777777" w:rsidR="00D71519" w:rsidRDefault="00000000">
      <w:pPr>
        <w:numPr>
          <w:ilvl w:val="0"/>
          <w:numId w:val="2"/>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Objetivo:</w:t>
      </w:r>
      <w:r>
        <w:rPr>
          <w:rFonts w:ascii="Times New Roman" w:hAnsi="Times New Roman" w:cs="Times New Roman"/>
          <w:sz w:val="24"/>
          <w:szCs w:val="24"/>
          <w:lang w:val="es-DO"/>
        </w:rPr>
        <w:t xml:space="preserve"> Caracterizar el estado inicial y perspectivo del docente en relación con su capacidad para formar y desarrollar habilidades de preparación para la vida en alumnos con discapacidad auditiva.</w:t>
      </w:r>
    </w:p>
    <w:p w14:paraId="2ABBC6FF" w14:textId="77777777" w:rsidR="00D71519" w:rsidRDefault="00000000">
      <w:pPr>
        <w:numPr>
          <w:ilvl w:val="0"/>
          <w:numId w:val="2"/>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lastRenderedPageBreak/>
        <w:t>Componente teórico:</w:t>
      </w:r>
      <w:r>
        <w:rPr>
          <w:rFonts w:ascii="Times New Roman" w:hAnsi="Times New Roman" w:cs="Times New Roman"/>
          <w:sz w:val="24"/>
          <w:szCs w:val="24"/>
          <w:lang w:val="es-DO"/>
        </w:rPr>
        <w:t xml:space="preserve"> Identificación de necesidades y potencialidades del docente, promoviendo reflexión grupal e individual, intercambio de experiencias y participación activa. Se garantiza un carácter dialógico que permite que los docentes contribuyan con sus percepciones, experiencias y propuestas para la mejora del proceso de enseñanza-aprendizaje. Se enfatiza la importancia de abordar aspectos como la autoestima, motivación y disposición para el aprendizaje continuo.</w:t>
      </w:r>
    </w:p>
    <w:p w14:paraId="00CDDC50" w14:textId="77777777" w:rsidR="00D71519" w:rsidRDefault="00000000">
      <w:pPr>
        <w:numPr>
          <w:ilvl w:val="0"/>
          <w:numId w:val="2"/>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Componente instrumental:</w:t>
      </w:r>
      <w:r>
        <w:rPr>
          <w:rFonts w:ascii="Times New Roman" w:hAnsi="Times New Roman" w:cs="Times New Roman"/>
          <w:sz w:val="24"/>
          <w:szCs w:val="24"/>
          <w:lang w:val="es-DO"/>
        </w:rPr>
        <w:t xml:space="preserve"> Selección y aplicación de instrumentos diagnósticos dirigidos a docentes y alumnos, análisis valorativo de resultados, identificación de fortalezas y debilidades, y caracterización integral de cada docente para orientar las acciones de superación profesional.</w:t>
      </w:r>
    </w:p>
    <w:p w14:paraId="74899AF6" w14:textId="77777777" w:rsidR="00D71519" w:rsidRDefault="00000000">
      <w:pPr>
        <w:tabs>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Segunda etapa: Planeación y organización</w:t>
      </w:r>
    </w:p>
    <w:p w14:paraId="5E0ACE85" w14:textId="77777777" w:rsidR="00D71519" w:rsidRDefault="00000000">
      <w:pPr>
        <w:numPr>
          <w:ilvl w:val="0"/>
          <w:numId w:val="3"/>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Objetivo:</w:t>
      </w:r>
      <w:r>
        <w:rPr>
          <w:rFonts w:ascii="Times New Roman" w:hAnsi="Times New Roman" w:cs="Times New Roman"/>
          <w:sz w:val="24"/>
          <w:szCs w:val="24"/>
          <w:lang w:val="es-DO"/>
        </w:rPr>
        <w:t xml:space="preserve"> Planificar y organizar las actividades de superación profesional, definiendo participantes, objetivos, contenidos, métodos y evaluación.</w:t>
      </w:r>
    </w:p>
    <w:p w14:paraId="5FA1B322" w14:textId="77777777" w:rsidR="00D71519" w:rsidRDefault="00000000">
      <w:pPr>
        <w:numPr>
          <w:ilvl w:val="0"/>
          <w:numId w:val="3"/>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Componente teórico:</w:t>
      </w:r>
      <w:r>
        <w:rPr>
          <w:rFonts w:ascii="Times New Roman" w:hAnsi="Times New Roman" w:cs="Times New Roman"/>
          <w:sz w:val="24"/>
          <w:szCs w:val="24"/>
          <w:lang w:val="es-DO"/>
        </w:rPr>
        <w:t xml:space="preserve"> Proyección de saberes relacionados con habilidades de preparación para la vida, incluyendo autoconocimiento, empatía, comunicación asertiva, manejo de emociones y estrés, toma de decisiones, pensamiento crítico, creatividad, solución de problemas y trabajo en equipo. Cada saber se contextualiza con ejemplos prácticos para favorecer su integración en la práctica docente cotidiana.</w:t>
      </w:r>
    </w:p>
    <w:p w14:paraId="596211FE" w14:textId="77777777" w:rsidR="00D71519" w:rsidRDefault="00000000">
      <w:pPr>
        <w:numPr>
          <w:ilvl w:val="0"/>
          <w:numId w:val="3"/>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Componente práctico:</w:t>
      </w:r>
      <w:r>
        <w:rPr>
          <w:rFonts w:ascii="Times New Roman" w:hAnsi="Times New Roman" w:cs="Times New Roman"/>
          <w:sz w:val="24"/>
          <w:szCs w:val="24"/>
          <w:lang w:val="es-DO"/>
        </w:rPr>
        <w:t xml:space="preserve"> Elaboración de actividades individuales y grupales basadas en las necesidades detectadas, organización de sesiones y dinámicas, adecuación a niveles de desarrollo y capacidades de docentes y alumnos, asegurando la relación teoría-práctica.</w:t>
      </w:r>
    </w:p>
    <w:p w14:paraId="225913AB" w14:textId="77777777" w:rsidR="00D71519" w:rsidRDefault="00000000">
      <w:pPr>
        <w:tabs>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Tercera etapa: Implementación de la estrategia</w:t>
      </w:r>
    </w:p>
    <w:p w14:paraId="4E544B28" w14:textId="77777777" w:rsidR="00D71519" w:rsidRDefault="00000000">
      <w:pPr>
        <w:numPr>
          <w:ilvl w:val="0"/>
          <w:numId w:val="4"/>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Objetivo:</w:t>
      </w:r>
      <w:r>
        <w:rPr>
          <w:rFonts w:ascii="Times New Roman" w:hAnsi="Times New Roman" w:cs="Times New Roman"/>
          <w:sz w:val="24"/>
          <w:szCs w:val="24"/>
          <w:lang w:val="es-DO"/>
        </w:rPr>
        <w:t xml:space="preserve"> Ejecutar las sesiones y dinámicas planificadas, promoviendo la aplicación práctica de los conocimientos y habilidades adquiridas por los docentes.</w:t>
      </w:r>
    </w:p>
    <w:p w14:paraId="12D414AD" w14:textId="77777777" w:rsidR="00D71519" w:rsidRDefault="00000000">
      <w:pPr>
        <w:numPr>
          <w:ilvl w:val="0"/>
          <w:numId w:val="4"/>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Componente teórico:</w:t>
      </w:r>
      <w:r>
        <w:rPr>
          <w:rFonts w:ascii="Times New Roman" w:hAnsi="Times New Roman" w:cs="Times New Roman"/>
          <w:sz w:val="24"/>
          <w:szCs w:val="24"/>
          <w:lang w:val="es-DO"/>
        </w:rPr>
        <w:t xml:space="preserve"> Sistematización de acciones para consolidar actitudes, estimular intereses y fortalecer motivación hacia el aprendizaje. Se incluyen orientaciones sobre </w:t>
      </w:r>
      <w:r>
        <w:rPr>
          <w:rFonts w:ascii="Times New Roman" w:hAnsi="Times New Roman" w:cs="Times New Roman"/>
          <w:sz w:val="24"/>
          <w:szCs w:val="24"/>
          <w:lang w:val="es-DO"/>
        </w:rPr>
        <w:lastRenderedPageBreak/>
        <w:t>comunicación no verbal, expresión corporal y técnicas de enseñanza activa, que facilitan la interacción efectiva con los alumnos.</w:t>
      </w:r>
    </w:p>
    <w:p w14:paraId="6D29EDD6" w14:textId="77777777" w:rsidR="00D71519" w:rsidRDefault="00000000">
      <w:pPr>
        <w:numPr>
          <w:ilvl w:val="0"/>
          <w:numId w:val="4"/>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Componente instrumental:</w:t>
      </w:r>
      <w:r>
        <w:rPr>
          <w:rFonts w:ascii="Times New Roman" w:hAnsi="Times New Roman" w:cs="Times New Roman"/>
          <w:sz w:val="24"/>
          <w:szCs w:val="24"/>
          <w:lang w:val="es-DO"/>
        </w:rPr>
        <w:t xml:space="preserve"> Organización de talleres metodológicos, atención individualizada, retroalimentación continua y valoración conjunta de resultados, permitiendo ajustar actividades según las necesidades detectadas durante la implementación.</w:t>
      </w:r>
    </w:p>
    <w:p w14:paraId="7C962565" w14:textId="77777777" w:rsidR="00D71519" w:rsidRDefault="00000000">
      <w:pPr>
        <w:tabs>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Cuarta etapa: Evaluación de la estrategia</w:t>
      </w:r>
    </w:p>
    <w:p w14:paraId="2725A13C" w14:textId="77777777" w:rsidR="00D71519" w:rsidRDefault="00000000">
      <w:pPr>
        <w:numPr>
          <w:ilvl w:val="0"/>
          <w:numId w:val="5"/>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Objetivo:</w:t>
      </w:r>
      <w:r>
        <w:rPr>
          <w:rFonts w:ascii="Times New Roman" w:hAnsi="Times New Roman" w:cs="Times New Roman"/>
          <w:sz w:val="24"/>
          <w:szCs w:val="24"/>
          <w:lang w:val="es-DO"/>
        </w:rPr>
        <w:t xml:space="preserve"> Constatar el dominio de conocimientos y habilidades adquiridas por el docente, así como la efectividad de la estrategia en la formación y desarrollo de competencias en los alumnos.</w:t>
      </w:r>
    </w:p>
    <w:p w14:paraId="69A732EA" w14:textId="77777777" w:rsidR="00D71519" w:rsidRDefault="00000000">
      <w:pPr>
        <w:numPr>
          <w:ilvl w:val="0"/>
          <w:numId w:val="5"/>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Componente teórico:</w:t>
      </w:r>
      <w:r>
        <w:rPr>
          <w:rFonts w:ascii="Times New Roman" w:hAnsi="Times New Roman" w:cs="Times New Roman"/>
          <w:sz w:val="24"/>
          <w:szCs w:val="24"/>
          <w:lang w:val="es-DO"/>
        </w:rPr>
        <w:t xml:space="preserve"> Reflexión y autorreflexión sobre la práctica docente, valorando la efectividad de las acciones implementadas. Se evalúa la planificación, ejecución, relación con los alumnos y resultados alcanzados en el desarrollo de habilidades para la vida.</w:t>
      </w:r>
    </w:p>
    <w:p w14:paraId="4E593D15" w14:textId="77777777" w:rsidR="00D71519" w:rsidRDefault="00000000">
      <w:pPr>
        <w:numPr>
          <w:ilvl w:val="0"/>
          <w:numId w:val="5"/>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b/>
          <w:bCs/>
          <w:sz w:val="24"/>
          <w:szCs w:val="24"/>
          <w:lang w:val="es-DO"/>
        </w:rPr>
        <w:t>Componente instrumental:</w:t>
      </w:r>
      <w:r>
        <w:rPr>
          <w:rFonts w:ascii="Times New Roman" w:hAnsi="Times New Roman" w:cs="Times New Roman"/>
          <w:sz w:val="24"/>
          <w:szCs w:val="24"/>
          <w:lang w:val="es-DO"/>
        </w:rPr>
        <w:t xml:space="preserve"> Monitoreo continuo del desempeño, comparación entre plan y resultados, identificación de aciertos y errores, autocorrección, ajustes metodológicos y retroalimentación para la mejora continua.</w:t>
      </w:r>
    </w:p>
    <w:p w14:paraId="5089350E" w14:textId="77777777" w:rsidR="00D71519" w:rsidRDefault="00000000">
      <w:pPr>
        <w:tabs>
          <w:tab w:val="left" w:pos="708"/>
        </w:tabs>
        <w:spacing w:after="0" w:line="360" w:lineRule="auto"/>
        <w:ind w:right="51"/>
        <w:jc w:val="both"/>
        <w:rPr>
          <w:rFonts w:ascii="Times New Roman" w:hAnsi="Times New Roman" w:cs="Times New Roman"/>
          <w:b/>
          <w:bCs/>
          <w:sz w:val="24"/>
          <w:szCs w:val="24"/>
          <w:lang w:val="es-DO"/>
        </w:rPr>
      </w:pPr>
      <w:r>
        <w:rPr>
          <w:rFonts w:ascii="Times New Roman" w:hAnsi="Times New Roman" w:cs="Times New Roman"/>
          <w:b/>
          <w:bCs/>
          <w:sz w:val="24"/>
          <w:szCs w:val="24"/>
          <w:lang w:val="es-DO"/>
        </w:rPr>
        <w:t>Proyección metodológica de la estrategia</w:t>
      </w:r>
    </w:p>
    <w:p w14:paraId="3AC53F8A" w14:textId="77777777" w:rsidR="00D71519" w:rsidRDefault="00000000">
      <w:pPr>
        <w:tabs>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sz w:val="24"/>
          <w:szCs w:val="24"/>
          <w:lang w:val="es-DO"/>
        </w:rPr>
        <w:t>Cada etapa integra un enfoque participativo y centrado en el aprendizaje activo, combinando teoría, práctica y evaluación de manera continua. La estrategia propone:</w:t>
      </w:r>
    </w:p>
    <w:p w14:paraId="3C2368B9" w14:textId="77777777" w:rsidR="00D71519" w:rsidRDefault="00000000">
      <w:pPr>
        <w:numPr>
          <w:ilvl w:val="0"/>
          <w:numId w:val="6"/>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sz w:val="24"/>
          <w:szCs w:val="24"/>
          <w:lang w:val="es-DO"/>
        </w:rPr>
        <w:t>Fomentar el aprendizaje colaborativo y la interacción entre docentes, con espacios de reflexión y construcción colectiva de conocimientos.</w:t>
      </w:r>
    </w:p>
    <w:p w14:paraId="35756802" w14:textId="77777777" w:rsidR="00D71519" w:rsidRDefault="00000000">
      <w:pPr>
        <w:numPr>
          <w:ilvl w:val="0"/>
          <w:numId w:val="6"/>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sz w:val="24"/>
          <w:szCs w:val="24"/>
          <w:lang w:val="es-DO"/>
        </w:rPr>
        <w:t>Garantizar la individualización de las acciones según necesidades y potencialidades de cada docente y alumno.</w:t>
      </w:r>
    </w:p>
    <w:p w14:paraId="7423F6A8" w14:textId="77777777" w:rsidR="00D71519" w:rsidRDefault="00000000">
      <w:pPr>
        <w:numPr>
          <w:ilvl w:val="0"/>
          <w:numId w:val="6"/>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sz w:val="24"/>
          <w:szCs w:val="24"/>
          <w:lang w:val="es-DO"/>
        </w:rPr>
        <w:t>Integrar habilidades cognitivas, afectivas y actitudinales en cada sesión, promoviendo el desarrollo integral de competencias.</w:t>
      </w:r>
    </w:p>
    <w:p w14:paraId="22BA7462" w14:textId="77777777" w:rsidR="00D71519" w:rsidRDefault="00000000">
      <w:pPr>
        <w:numPr>
          <w:ilvl w:val="0"/>
          <w:numId w:val="6"/>
        </w:numPr>
        <w:tabs>
          <w:tab w:val="clear" w:pos="720"/>
          <w:tab w:val="left" w:pos="708"/>
        </w:tabs>
        <w:spacing w:after="0" w:line="360" w:lineRule="auto"/>
        <w:ind w:right="51"/>
        <w:jc w:val="both"/>
        <w:rPr>
          <w:rFonts w:ascii="Times New Roman" w:hAnsi="Times New Roman" w:cs="Times New Roman"/>
          <w:sz w:val="24"/>
          <w:szCs w:val="24"/>
          <w:lang w:val="es-DO"/>
        </w:rPr>
      </w:pPr>
      <w:r>
        <w:rPr>
          <w:rFonts w:ascii="Times New Roman" w:hAnsi="Times New Roman" w:cs="Times New Roman"/>
          <w:sz w:val="24"/>
          <w:szCs w:val="24"/>
          <w:lang w:val="es-DO"/>
        </w:rPr>
        <w:lastRenderedPageBreak/>
        <w:t>Establecer mecanismos de seguimiento y evaluación que permitan medir progresos, identificar dificultades y ajustar las intervenciones de manera dinámica y flexible.</w:t>
      </w:r>
    </w:p>
    <w:p w14:paraId="660F9610" w14:textId="77777777" w:rsidR="00D71519" w:rsidRDefault="00000000">
      <w:pPr>
        <w:pStyle w:val="Prrafodelista"/>
        <w:tabs>
          <w:tab w:val="left" w:pos="708"/>
        </w:tabs>
        <w:spacing w:after="0" w:line="360" w:lineRule="auto"/>
        <w:ind w:left="0"/>
        <w:jc w:val="center"/>
        <w:outlineLvl w:val="0"/>
        <w:rPr>
          <w:rFonts w:ascii="Times New Roman" w:hAnsi="Times New Roman" w:cs="Times New Roman"/>
          <w:b/>
          <w:caps/>
          <w:sz w:val="24"/>
          <w:szCs w:val="24"/>
        </w:rPr>
      </w:pPr>
      <w:r>
        <w:rPr>
          <w:rFonts w:ascii="Times New Roman" w:hAnsi="Times New Roman" w:cs="Times New Roman"/>
          <w:b/>
          <w:caps/>
          <w:sz w:val="24"/>
          <w:szCs w:val="24"/>
        </w:rPr>
        <w:t>Conclusiones</w:t>
      </w:r>
    </w:p>
    <w:p w14:paraId="7EFCC212" w14:textId="77777777" w:rsidR="00D71519" w:rsidRDefault="00000000">
      <w:pPr>
        <w:shd w:val="clear" w:color="auto" w:fill="FFFFFF"/>
        <w:tabs>
          <w:tab w:val="left" w:pos="708"/>
        </w:tabs>
        <w:spacing w:after="0" w:line="360" w:lineRule="auto"/>
        <w:jc w:val="both"/>
        <w:rPr>
          <w:rFonts w:ascii="Times New Roman" w:eastAsia="Times New Roman" w:hAnsi="Times New Roman" w:cs="Times New Roman"/>
          <w:bCs/>
          <w:color w:val="000000"/>
          <w:sz w:val="24"/>
          <w:szCs w:val="24"/>
          <w:lang w:eastAsia="es-DO"/>
        </w:rPr>
      </w:pPr>
      <w:r>
        <w:rPr>
          <w:rFonts w:ascii="Times New Roman" w:eastAsia="Times New Roman" w:hAnsi="Times New Roman" w:cs="Times New Roman"/>
          <w:bCs/>
          <w:color w:val="000000"/>
          <w:sz w:val="24"/>
          <w:szCs w:val="24"/>
          <w:lang w:eastAsia="es-DO"/>
        </w:rPr>
        <w:t>La implementación de estrategias de superación profesional para docentes del nivel primario resulta esencial para fortalecer la educación inclusiva, particularmente en la formación y desarrollo de habilidades de preparación para la vida en alumnos con discapacidad auditiva. La capacitación continua y especializada permite a los docentes mejorar sus competencias en comunicación, adaptación curricular y diseño de ambientes de aprendizaje inclusivos, favoreciendo la autonomía, participación activa e integración social de estos estudiantes, elementos fundamentales para su desarrollo integral y preparación para la vida. La incorporación de enfoques teóricos y prácticos, junto con el uso de tecnologías de apoyo y técnicas de comunicación aumentativa y alternativa, asegura la aplicación de metodologías pedagógicas efectivas y adaptadas a las necesidades específicas de los alumnos.</w:t>
      </w:r>
    </w:p>
    <w:p w14:paraId="41AE19B6" w14:textId="77777777" w:rsidR="00D71519" w:rsidRDefault="00D71519">
      <w:pPr>
        <w:shd w:val="clear" w:color="auto" w:fill="FFFFFF"/>
        <w:tabs>
          <w:tab w:val="left" w:pos="708"/>
        </w:tabs>
        <w:spacing w:after="0" w:line="360" w:lineRule="auto"/>
        <w:jc w:val="both"/>
        <w:rPr>
          <w:rFonts w:ascii="Times New Roman" w:eastAsia="Times New Roman" w:hAnsi="Times New Roman" w:cs="Times New Roman"/>
          <w:bCs/>
          <w:color w:val="000000"/>
          <w:sz w:val="24"/>
          <w:szCs w:val="24"/>
          <w:lang w:eastAsia="es-DO"/>
        </w:rPr>
      </w:pPr>
    </w:p>
    <w:p w14:paraId="4F1D279E" w14:textId="77777777" w:rsidR="00D71519" w:rsidRDefault="00000000">
      <w:pPr>
        <w:shd w:val="clear" w:color="auto" w:fill="FFFFFF"/>
        <w:tabs>
          <w:tab w:val="left" w:pos="708"/>
        </w:tabs>
        <w:spacing w:after="0" w:line="360" w:lineRule="auto"/>
        <w:jc w:val="both"/>
        <w:rPr>
          <w:rFonts w:ascii="Times New Roman" w:eastAsia="Calibri" w:hAnsi="Times New Roman" w:cs="Times New Roman"/>
          <w:sz w:val="24"/>
          <w:szCs w:val="24"/>
          <w:lang w:val="es-MX"/>
        </w:rPr>
      </w:pPr>
      <w:r>
        <w:rPr>
          <w:rFonts w:ascii="Times New Roman" w:eastAsia="Times New Roman" w:hAnsi="Times New Roman" w:cs="Times New Roman"/>
          <w:bCs/>
          <w:color w:val="000000"/>
          <w:sz w:val="24"/>
          <w:szCs w:val="24"/>
          <w:lang w:eastAsia="es-DO"/>
        </w:rPr>
        <w:t>Asimismo, la formación continua impacta directamente en la calidad educativa, promoviendo la capacidad del docente para responder a las demandas de los estudiantes con discapacidad auditiva y garantizar su desarrollo integral. La adopción de una estrategia integral de superación profesional, que contemple formación, acompañamiento y evaluación constante, permite a los docentes ajustar su práctica pedagógica a los cambios y necesidades del contexto educativo. Esto refuerza el compromiso del sistema educativo con la inclusión, la igualdad de oportunidades y la preparación de los estudiantes para enfrentar los desafíos de la vida cotidiana, consolidando la efectividad de la educación inclusiva.</w:t>
      </w:r>
    </w:p>
    <w:p w14:paraId="2C85C3B2" w14:textId="77777777" w:rsidR="00916749" w:rsidRDefault="00916749" w:rsidP="00916749">
      <w:pPr>
        <w:widowControl w:val="0"/>
        <w:spacing w:line="360" w:lineRule="auto"/>
        <w:rPr>
          <w:rFonts w:ascii="Times New Roman" w:eastAsia="Calibri" w:hAnsi="Times New Roman" w:cs="Times New Roman"/>
          <w:b/>
          <w:sz w:val="28"/>
          <w:szCs w:val="24"/>
          <w:lang w:val="es-MX"/>
        </w:rPr>
      </w:pPr>
    </w:p>
    <w:p w14:paraId="22B161B4" w14:textId="77777777" w:rsidR="00916749" w:rsidRDefault="00916749" w:rsidP="00916749">
      <w:pPr>
        <w:widowControl w:val="0"/>
        <w:spacing w:line="360" w:lineRule="auto"/>
        <w:rPr>
          <w:rFonts w:ascii="Times New Roman" w:eastAsia="Calibri" w:hAnsi="Times New Roman" w:cs="Times New Roman"/>
          <w:b/>
          <w:sz w:val="28"/>
          <w:szCs w:val="24"/>
          <w:lang w:val="es-MX"/>
        </w:rPr>
      </w:pPr>
    </w:p>
    <w:p w14:paraId="09FDE84C" w14:textId="77777777" w:rsidR="00D71519" w:rsidRDefault="00000000" w:rsidP="00916749">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lastRenderedPageBreak/>
        <w:t>REFERENCIAS BIBLIOGRÁFICAS</w:t>
      </w:r>
    </w:p>
    <w:p w14:paraId="6CC55E09" w14:textId="77777777" w:rsidR="00D71519" w:rsidRDefault="00000000">
      <w:pPr>
        <w:spacing w:after="0" w:line="360" w:lineRule="auto"/>
        <w:ind w:left="567" w:hanging="567"/>
        <w:jc w:val="both"/>
        <w:outlineLvl w:val="0"/>
        <w:rPr>
          <w:rFonts w:ascii="Times New Roman" w:hAnsi="Times New Roman" w:cs="Times New Roman"/>
          <w:sz w:val="24"/>
          <w:szCs w:val="24"/>
        </w:rPr>
      </w:pPr>
      <w:r>
        <w:rPr>
          <w:rFonts w:ascii="Times New Roman" w:hAnsi="Times New Roman" w:cs="Times New Roman"/>
          <w:sz w:val="24"/>
          <w:szCs w:val="24"/>
        </w:rPr>
        <w:t xml:space="preserve">Arévalo, M., Tomás, A. y Mendoza, L. (2018). </w:t>
      </w:r>
      <w:r>
        <w:rPr>
          <w:rFonts w:ascii="Times New Roman" w:hAnsi="Times New Roman" w:cs="Times New Roman"/>
          <w:i/>
          <w:iCs/>
          <w:sz w:val="24"/>
          <w:szCs w:val="24"/>
        </w:rPr>
        <w:t>Habilidades para la vida y su importancia en la salud. Pontificia Universidad Javeriana.</w:t>
      </w:r>
      <w:r>
        <w:rPr>
          <w:rFonts w:ascii="Times New Roman" w:hAnsi="Times New Roman" w:cs="Times New Roman"/>
          <w:sz w:val="24"/>
          <w:szCs w:val="24"/>
        </w:rPr>
        <w:t xml:space="preserve"> Cali, Colombia. Itinerario Educativo.  Año XXVIII,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63, Enero – Junio, p. 61 – 89.</w:t>
      </w:r>
    </w:p>
    <w:p w14:paraId="6AB56279" w14:textId="77777777" w:rsidR="00D71519" w:rsidRDefault="00000000">
      <w:pPr>
        <w:autoSpaceDE w:val="0"/>
        <w:adjustRightInd w:val="0"/>
        <w:spacing w:after="0" w:line="360" w:lineRule="auto"/>
        <w:ind w:left="567" w:hanging="567"/>
        <w:jc w:val="both"/>
        <w:rPr>
          <w:rFonts w:ascii="Times New Roman" w:hAnsi="Times New Roman" w:cs="Times New Roman"/>
          <w:sz w:val="24"/>
          <w:szCs w:val="24"/>
        </w:rPr>
      </w:pPr>
      <w:r>
        <w:rPr>
          <w:rFonts w:ascii="Times New Roman" w:hAnsi="Times New Roman" w:cs="Times New Roman"/>
          <w:i/>
          <w:iCs/>
          <w:sz w:val="24"/>
          <w:szCs w:val="24"/>
        </w:rPr>
        <w:t>Convención sobre los derechos de las personas con discapacidad.</w:t>
      </w:r>
      <w:r>
        <w:rPr>
          <w:rFonts w:ascii="Times New Roman" w:hAnsi="Times New Roman" w:cs="Times New Roman"/>
          <w:sz w:val="24"/>
          <w:szCs w:val="24"/>
        </w:rPr>
        <w:t xml:space="preserve"> (2020). </w:t>
      </w:r>
      <w:r>
        <w:fldChar w:fldCharType="begin"/>
      </w:r>
      <w:r>
        <w:instrText xml:space="preserve"> HYPERLINK "https://www.un.org/esa/socdev/enable/documents/tccconvs.pdf" </w:instrText>
      </w:r>
      <w:r>
        <w:fldChar w:fldCharType="separate"/>
      </w:r>
      <w:r>
        <w:rPr>
          <w:rStyle w:val="Hipervnculo"/>
          <w:rFonts w:ascii="Times New Roman" w:hAnsi="Times New Roman" w:cs="Times New Roman"/>
          <w:sz w:val="24"/>
          <w:szCs w:val="24"/>
        </w:rPr>
        <w:t>https://www.un.org/esa/socdev/enable/documents/tccconvs.pdf</w:t>
      </w:r>
      <w:r>
        <w:rPr>
          <w:rStyle w:val="Hipervnculo"/>
          <w:rFonts w:ascii="Times New Roman" w:hAnsi="Times New Roman" w:cs="Times New Roman"/>
          <w:sz w:val="24"/>
          <w:szCs w:val="24"/>
        </w:rPr>
        <w:fldChar w:fldCharType="end"/>
      </w:r>
    </w:p>
    <w:p w14:paraId="4B8FA8AD" w14:textId="77777777" w:rsidR="00D71519" w:rsidRDefault="00000000">
      <w:pPr>
        <w:pStyle w:val="NormalWeb"/>
        <w:shd w:val="clear" w:color="auto" w:fill="FFFFFF"/>
        <w:spacing w:before="0" w:beforeAutospacing="0" w:after="0" w:afterAutospacing="0" w:line="360" w:lineRule="auto"/>
        <w:ind w:left="567" w:hanging="567"/>
        <w:jc w:val="both"/>
        <w:rPr>
          <w:color w:val="000000"/>
          <w:lang w:val="es-DO"/>
        </w:rPr>
      </w:pPr>
      <w:r>
        <w:rPr>
          <w:color w:val="000000"/>
          <w:lang w:val="es-DO"/>
        </w:rPr>
        <w:t>Flores, M. y García, L. (2020). </w:t>
      </w:r>
      <w:r>
        <w:rPr>
          <w:rStyle w:val="nfasis"/>
          <w:color w:val="000000"/>
          <w:lang w:val="es-DO"/>
        </w:rPr>
        <w:t>Formación docente para la inclusión: estrategias y desafíos</w:t>
      </w:r>
      <w:r>
        <w:rPr>
          <w:color w:val="000000"/>
          <w:lang w:val="es-DO"/>
        </w:rPr>
        <w:t>. Revista de Educación Inclusiva, 15(2), 45-60.</w:t>
      </w:r>
    </w:p>
    <w:p w14:paraId="6146E430" w14:textId="77777777" w:rsidR="00D71519" w:rsidRDefault="00000000">
      <w:pPr>
        <w:shd w:val="clear" w:color="auto" w:fill="FFFFFF"/>
        <w:spacing w:after="0" w:line="360" w:lineRule="auto"/>
        <w:ind w:left="567" w:hanging="567"/>
        <w:jc w:val="both"/>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García, L. y López, M. (2018). Formación docente para la inclusión educativa. </w:t>
      </w:r>
      <w:r>
        <w:rPr>
          <w:rFonts w:ascii="Times New Roman" w:eastAsia="Times New Roman" w:hAnsi="Times New Roman" w:cs="Times New Roman"/>
          <w:iCs/>
          <w:color w:val="000000"/>
          <w:sz w:val="24"/>
          <w:szCs w:val="24"/>
          <w:lang w:eastAsia="es-DO"/>
        </w:rPr>
        <w:t>Revista de Educación Inclusiva</w:t>
      </w:r>
      <w:r>
        <w:rPr>
          <w:rFonts w:ascii="Times New Roman" w:eastAsia="Times New Roman" w:hAnsi="Times New Roman" w:cs="Times New Roman"/>
          <w:color w:val="000000"/>
          <w:sz w:val="24"/>
          <w:szCs w:val="24"/>
          <w:lang w:eastAsia="es-DO"/>
        </w:rPr>
        <w:t>, 12(3), 45-60.</w:t>
      </w:r>
    </w:p>
    <w:p w14:paraId="77AD027D" w14:textId="77777777" w:rsidR="00D71519" w:rsidRDefault="00000000">
      <w:pPr>
        <w:shd w:val="clear" w:color="auto" w:fill="FFFFFF"/>
        <w:spacing w:after="0" w:line="360" w:lineRule="auto"/>
        <w:ind w:left="567" w:hanging="567"/>
        <w:jc w:val="both"/>
        <w:rPr>
          <w:rFonts w:ascii="Times New Roman" w:eastAsia="Calibri" w:hAnsi="Times New Roman" w:cs="Times New Roman"/>
          <w:sz w:val="24"/>
          <w:szCs w:val="24"/>
        </w:rPr>
      </w:pPr>
      <w:r>
        <w:rPr>
          <w:rFonts w:ascii="Times New Roman" w:hAnsi="Times New Roman" w:cs="Times New Roman"/>
          <w:sz w:val="24"/>
          <w:szCs w:val="24"/>
        </w:rPr>
        <w:t xml:space="preserve">Gómez, E. (2019). </w:t>
      </w:r>
      <w:r>
        <w:rPr>
          <w:rFonts w:ascii="Times New Roman" w:hAnsi="Times New Roman" w:cs="Times New Roman"/>
          <w:i/>
          <w:iCs/>
          <w:sz w:val="24"/>
          <w:szCs w:val="24"/>
        </w:rPr>
        <w:t>L</w:t>
      </w:r>
      <w:r>
        <w:rPr>
          <w:rFonts w:ascii="Times New Roman" w:hAnsi="Times New Roman" w:cs="Times New Roman"/>
          <w:bCs/>
          <w:i/>
          <w:iCs/>
          <w:sz w:val="24"/>
          <w:szCs w:val="24"/>
        </w:rPr>
        <w:t xml:space="preserve">a superación profesional de los trabajadores sociales del Centro de Diagnóstico y Orientación dirigida a la </w:t>
      </w:r>
      <w:r>
        <w:rPr>
          <w:rFonts w:ascii="Times New Roman" w:hAnsi="Times New Roman" w:cs="Times New Roman"/>
          <w:i/>
          <w:iCs/>
          <w:sz w:val="24"/>
          <w:szCs w:val="24"/>
        </w:rPr>
        <w:t>orientación a las</w:t>
      </w:r>
      <w:r>
        <w:rPr>
          <w:rFonts w:ascii="Times New Roman" w:hAnsi="Times New Roman" w:cs="Times New Roman"/>
          <w:bCs/>
          <w:i/>
          <w:iCs/>
          <w:sz w:val="24"/>
          <w:szCs w:val="24"/>
        </w:rPr>
        <w:t xml:space="preserve"> familias de educandos con disfasia</w:t>
      </w:r>
      <w:r>
        <w:rPr>
          <w:rFonts w:ascii="Times New Roman" w:hAnsi="Times New Roman" w:cs="Times New Roman"/>
          <w:bCs/>
          <w:sz w:val="24"/>
          <w:szCs w:val="24"/>
        </w:rPr>
        <w:t xml:space="preserve">. </w:t>
      </w:r>
      <w:r>
        <w:rPr>
          <w:rFonts w:ascii="Times New Roman" w:hAnsi="Times New Roman" w:cs="Times New Roman"/>
          <w:sz w:val="24"/>
          <w:szCs w:val="24"/>
        </w:rPr>
        <w:t xml:space="preserve">[Tesis doctoral no publicada].  Universidad “Ignacio Agramonte </w:t>
      </w:r>
      <w:proofErr w:type="spellStart"/>
      <w:r>
        <w:rPr>
          <w:rFonts w:ascii="Times New Roman" w:hAnsi="Times New Roman" w:cs="Times New Roman"/>
          <w:sz w:val="24"/>
          <w:szCs w:val="24"/>
        </w:rPr>
        <w:t>Loynaz</w:t>
      </w:r>
      <w:proofErr w:type="spellEnd"/>
      <w:r>
        <w:rPr>
          <w:rFonts w:ascii="Times New Roman" w:hAnsi="Times New Roman" w:cs="Times New Roman"/>
          <w:sz w:val="24"/>
          <w:szCs w:val="24"/>
        </w:rPr>
        <w:t>”. Camagüey, Cuba.</w:t>
      </w:r>
    </w:p>
    <w:p w14:paraId="43457BAF" w14:textId="77777777" w:rsidR="00D71519" w:rsidRDefault="00000000">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González, L. (2020. </w:t>
      </w:r>
      <w:r>
        <w:rPr>
          <w:rFonts w:ascii="Times New Roman" w:hAnsi="Times New Roman" w:cs="Times New Roman"/>
          <w:i/>
          <w:iCs/>
          <w:sz w:val="24"/>
          <w:szCs w:val="24"/>
        </w:rPr>
        <w:t xml:space="preserve">La superación profesional de los psicólogos del Centro de Diagnóstico y Orientación dirigida a la atención educativa de educandos con diagnóstico de Trastornos de Hiperactividad y Déficit </w:t>
      </w:r>
      <w:proofErr w:type="spellStart"/>
      <w:r>
        <w:rPr>
          <w:rFonts w:ascii="Times New Roman" w:hAnsi="Times New Roman" w:cs="Times New Roman"/>
          <w:i/>
          <w:iCs/>
          <w:sz w:val="24"/>
          <w:szCs w:val="24"/>
        </w:rPr>
        <w:t>Atentivo</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[Tesis doctoral no publicada]. Universidad “Ignacio Agramonte </w:t>
      </w:r>
      <w:proofErr w:type="spellStart"/>
      <w:r>
        <w:rPr>
          <w:rFonts w:ascii="Times New Roman" w:hAnsi="Times New Roman" w:cs="Times New Roman"/>
          <w:sz w:val="24"/>
          <w:szCs w:val="24"/>
        </w:rPr>
        <w:t>Loynaz</w:t>
      </w:r>
      <w:proofErr w:type="spellEnd"/>
      <w:r>
        <w:rPr>
          <w:rFonts w:ascii="Times New Roman" w:hAnsi="Times New Roman" w:cs="Times New Roman"/>
          <w:sz w:val="24"/>
          <w:szCs w:val="24"/>
        </w:rPr>
        <w:t>”. Camagüey, Cuba.</w:t>
      </w:r>
    </w:p>
    <w:p w14:paraId="5BA6AF3B" w14:textId="77777777" w:rsidR="00D71519" w:rsidRDefault="00000000">
      <w:pPr>
        <w:shd w:val="clear" w:color="auto" w:fill="FFFFFF"/>
        <w:spacing w:after="0" w:line="360" w:lineRule="auto"/>
        <w:ind w:left="567" w:hanging="567"/>
        <w:jc w:val="both"/>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 xml:space="preserve">Martínez, P. (2020). </w:t>
      </w:r>
      <w:r>
        <w:rPr>
          <w:rFonts w:ascii="Times New Roman" w:eastAsia="Times New Roman" w:hAnsi="Times New Roman" w:cs="Times New Roman"/>
          <w:i/>
          <w:iCs/>
          <w:color w:val="000000"/>
          <w:sz w:val="24"/>
          <w:szCs w:val="24"/>
          <w:lang w:eastAsia="es-DO"/>
        </w:rPr>
        <w:t xml:space="preserve">Tecnologías </w:t>
      </w:r>
      <w:proofErr w:type="spellStart"/>
      <w:r>
        <w:rPr>
          <w:rFonts w:ascii="Times New Roman" w:eastAsia="Times New Roman" w:hAnsi="Times New Roman" w:cs="Times New Roman"/>
          <w:i/>
          <w:iCs/>
          <w:color w:val="000000"/>
          <w:sz w:val="24"/>
          <w:szCs w:val="24"/>
          <w:lang w:eastAsia="es-DO"/>
        </w:rPr>
        <w:t>asistivas</w:t>
      </w:r>
      <w:proofErr w:type="spellEnd"/>
      <w:r>
        <w:rPr>
          <w:rFonts w:ascii="Times New Roman" w:eastAsia="Times New Roman" w:hAnsi="Times New Roman" w:cs="Times New Roman"/>
          <w:i/>
          <w:iCs/>
          <w:color w:val="000000"/>
          <w:sz w:val="24"/>
          <w:szCs w:val="24"/>
          <w:lang w:eastAsia="es-DO"/>
        </w:rPr>
        <w:t xml:space="preserve"> y formación docente en discapacidad auditiva. Revista de Innovación Educativa</w:t>
      </w:r>
      <w:r>
        <w:rPr>
          <w:rFonts w:ascii="Times New Roman" w:eastAsia="Times New Roman" w:hAnsi="Times New Roman" w:cs="Times New Roman"/>
          <w:color w:val="000000"/>
          <w:sz w:val="24"/>
          <w:szCs w:val="24"/>
          <w:lang w:eastAsia="es-DO"/>
        </w:rPr>
        <w:t>, 8(1), 23-35.</w:t>
      </w:r>
    </w:p>
    <w:p w14:paraId="249D4F4A" w14:textId="77777777" w:rsidR="00D71519" w:rsidRDefault="00000000">
      <w:pPr>
        <w:pStyle w:val="NormalWeb"/>
        <w:shd w:val="clear" w:color="auto" w:fill="FFFFFF"/>
        <w:spacing w:before="0" w:beforeAutospacing="0" w:after="0" w:afterAutospacing="0" w:line="360" w:lineRule="auto"/>
        <w:ind w:left="567" w:hanging="567"/>
        <w:jc w:val="both"/>
        <w:rPr>
          <w:color w:val="000000"/>
          <w:lang w:val="es-DO"/>
        </w:rPr>
      </w:pPr>
      <w:r>
        <w:rPr>
          <w:color w:val="000000"/>
          <w:lang w:val="es-DO"/>
        </w:rPr>
        <w:t>Ministerio de Educación. (2019). </w:t>
      </w:r>
      <w:r>
        <w:rPr>
          <w:rStyle w:val="nfasis"/>
          <w:iCs w:val="0"/>
          <w:color w:val="000000"/>
          <w:lang w:val="es-DO"/>
        </w:rPr>
        <w:t>Lineamientos para la atención educativa a estudiantes con discapacidad auditiva</w:t>
      </w:r>
      <w:r>
        <w:rPr>
          <w:i/>
          <w:color w:val="000000"/>
          <w:lang w:val="es-DO"/>
        </w:rPr>
        <w:t xml:space="preserve">. </w:t>
      </w:r>
      <w:r>
        <w:rPr>
          <w:color w:val="000000"/>
          <w:lang w:val="es-DO"/>
        </w:rPr>
        <w:t>Gobierno de República Dominicana.</w:t>
      </w:r>
    </w:p>
    <w:p w14:paraId="41F79017" w14:textId="77777777" w:rsidR="00D71519" w:rsidRDefault="00000000">
      <w:pPr>
        <w:spacing w:after="0"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lang w:val="es-DO"/>
        </w:rPr>
        <w:t xml:space="preserve">Montero, D. (2021). </w:t>
      </w:r>
      <w:r>
        <w:rPr>
          <w:rFonts w:ascii="Times New Roman" w:hAnsi="Times New Roman" w:cs="Times New Roman"/>
          <w:i/>
          <w:iCs/>
          <w:color w:val="000000"/>
          <w:sz w:val="24"/>
          <w:szCs w:val="24"/>
          <w:lang w:val="es-DO"/>
        </w:rPr>
        <w:t>L</w:t>
      </w:r>
      <w:r>
        <w:rPr>
          <w:rFonts w:ascii="Times New Roman" w:hAnsi="Times New Roman" w:cs="Times New Roman"/>
          <w:bCs/>
          <w:i/>
          <w:iCs/>
          <w:sz w:val="24"/>
          <w:szCs w:val="24"/>
          <w:lang w:val="es-DO"/>
        </w:rPr>
        <w:t>a superación profesional de los trabajadores sociales de los hogares de niños sin amparo familiar.</w:t>
      </w:r>
      <w:r>
        <w:rPr>
          <w:rFonts w:ascii="Times New Roman" w:hAnsi="Times New Roman" w:cs="Times New Roman"/>
          <w:bCs/>
          <w:sz w:val="24"/>
          <w:szCs w:val="24"/>
          <w:lang w:val="es-DO"/>
        </w:rPr>
        <w:t xml:space="preserve"> </w:t>
      </w:r>
      <w:r>
        <w:rPr>
          <w:rFonts w:ascii="Times New Roman" w:hAnsi="Times New Roman" w:cs="Times New Roman"/>
          <w:sz w:val="24"/>
          <w:szCs w:val="24"/>
        </w:rPr>
        <w:t xml:space="preserve">[Tesis doctoral no publicada]. Universidad “Ignacio Agramonte </w:t>
      </w:r>
      <w:proofErr w:type="spellStart"/>
      <w:r>
        <w:rPr>
          <w:rFonts w:ascii="Times New Roman" w:hAnsi="Times New Roman" w:cs="Times New Roman"/>
          <w:sz w:val="24"/>
          <w:szCs w:val="24"/>
        </w:rPr>
        <w:t>Loynaz</w:t>
      </w:r>
      <w:proofErr w:type="spellEnd"/>
      <w:r>
        <w:rPr>
          <w:rFonts w:ascii="Times New Roman" w:hAnsi="Times New Roman" w:cs="Times New Roman"/>
          <w:sz w:val="24"/>
          <w:szCs w:val="24"/>
        </w:rPr>
        <w:t>”. Camagüey, Cuba.</w:t>
      </w:r>
    </w:p>
    <w:p w14:paraId="515FA3C3" w14:textId="77777777" w:rsidR="00D71519" w:rsidRDefault="00000000">
      <w:pPr>
        <w:pStyle w:val="Default"/>
        <w:spacing w:line="360" w:lineRule="auto"/>
        <w:ind w:left="567" w:hanging="567"/>
        <w:jc w:val="both"/>
        <w:rPr>
          <w:rFonts w:ascii="Times New Roman" w:hAnsi="Times New Roman" w:cs="Times New Roman"/>
        </w:rPr>
      </w:pPr>
      <w:r>
        <w:rPr>
          <w:rFonts w:ascii="Times New Roman" w:hAnsi="Times New Roman" w:cs="Times New Roman"/>
          <w:iCs/>
        </w:rPr>
        <w:lastRenderedPageBreak/>
        <w:t xml:space="preserve">Montero, D. y Gómez, E. (2021). </w:t>
      </w:r>
      <w:r>
        <w:rPr>
          <w:rFonts w:ascii="Times New Roman" w:hAnsi="Times New Roman" w:cs="Times New Roman"/>
          <w:i/>
          <w:iCs/>
        </w:rPr>
        <w:t>Importancia del desarrollo de habilidades para la vida en los hogares de niños sin amparo familiar.</w:t>
      </w:r>
      <w:r>
        <w:rPr>
          <w:rFonts w:ascii="Times New Roman" w:hAnsi="Times New Roman" w:cs="Times New Roman"/>
        </w:rPr>
        <w:t xml:space="preserve"> Ciencias Pedagógicas. </w:t>
      </w:r>
      <w:r>
        <w:rPr>
          <w:rFonts w:ascii="Times New Roman" w:hAnsi="Times New Roman" w:cs="Times New Roman"/>
          <w:bCs/>
        </w:rPr>
        <w:t xml:space="preserve">Revista Electrónica del Instituto Central de Ciencias </w:t>
      </w:r>
      <w:proofErr w:type="spellStart"/>
      <w:r>
        <w:rPr>
          <w:rFonts w:ascii="Times New Roman" w:hAnsi="Times New Roman" w:cs="Times New Roman"/>
          <w:bCs/>
        </w:rPr>
        <w:t>Pedagógicas.</w:t>
      </w:r>
      <w:r>
        <w:rPr>
          <w:rFonts w:ascii="Times New Roman" w:hAnsi="Times New Roman" w:cs="Times New Roman"/>
        </w:rPr>
        <w:t>No</w:t>
      </w:r>
      <w:proofErr w:type="spellEnd"/>
      <w:r>
        <w:rPr>
          <w:rFonts w:ascii="Times New Roman" w:hAnsi="Times New Roman" w:cs="Times New Roman"/>
        </w:rPr>
        <w:t>. 2 del año 2021 en su Cuarta época de edición, ISSN 1605-5888.</w:t>
      </w:r>
    </w:p>
    <w:p w14:paraId="5D1A4EC6" w14:textId="77777777" w:rsidR="00D71519" w:rsidRDefault="00000000">
      <w:pPr>
        <w:tabs>
          <w:tab w:val="left" w:pos="709"/>
        </w:tabs>
        <w:autoSpaceDE w:val="0"/>
        <w:spacing w:after="0" w:line="360" w:lineRule="auto"/>
        <w:ind w:left="567" w:hanging="567"/>
        <w:jc w:val="both"/>
        <w:rPr>
          <w:rStyle w:val="Hipervnculo"/>
          <w:rFonts w:ascii="Times New Roman" w:hAnsi="Times New Roman" w:cs="Times New Roman"/>
          <w:sz w:val="24"/>
          <w:szCs w:val="24"/>
        </w:rPr>
      </w:pPr>
      <w:r>
        <w:rPr>
          <w:rFonts w:ascii="Times New Roman" w:hAnsi="Times New Roman" w:cs="Times New Roman"/>
          <w:sz w:val="24"/>
          <w:szCs w:val="24"/>
        </w:rPr>
        <w:t xml:space="preserve">OMS. (2017). </w:t>
      </w:r>
      <w:r>
        <w:rPr>
          <w:rFonts w:ascii="Times New Roman" w:hAnsi="Times New Roman" w:cs="Times New Roman"/>
          <w:i/>
          <w:iCs/>
          <w:sz w:val="24"/>
          <w:szCs w:val="24"/>
        </w:rPr>
        <w:t xml:space="preserve">Enfoque de habilidades para la vida para un desarrollo saludable de niños y adolescentes. </w:t>
      </w:r>
      <w:r>
        <w:rPr>
          <w:rFonts w:ascii="Times New Roman" w:hAnsi="Times New Roman" w:cs="Times New Roman"/>
          <w:sz w:val="24"/>
          <w:szCs w:val="24"/>
        </w:rPr>
        <w:t> </w:t>
      </w:r>
      <w:r>
        <w:fldChar w:fldCharType="begin"/>
      </w:r>
      <w:r>
        <w:instrText xml:space="preserve"> HYPERLINK "http://www1.paho.org/hq/dmdocuments/" </w:instrText>
      </w:r>
      <w:r>
        <w:fldChar w:fldCharType="separate"/>
      </w:r>
      <w:r>
        <w:rPr>
          <w:rStyle w:val="Hipervnculo"/>
          <w:rFonts w:ascii="Times New Roman" w:hAnsi="Times New Roman" w:cs="Times New Roman"/>
          <w:sz w:val="24"/>
          <w:szCs w:val="24"/>
        </w:rPr>
        <w:t>http://www1.paho.org/hq/dmdocuments/</w:t>
      </w:r>
      <w:r>
        <w:rPr>
          <w:rStyle w:val="Hipervnculo"/>
          <w:rFonts w:ascii="Times New Roman" w:hAnsi="Times New Roman" w:cs="Times New Roman"/>
          <w:sz w:val="24"/>
          <w:szCs w:val="24"/>
        </w:rPr>
        <w:fldChar w:fldCharType="end"/>
      </w:r>
      <w:r>
        <w:rPr>
          <w:rStyle w:val="Hipervnculo"/>
          <w:rFonts w:ascii="Times New Roman" w:hAnsi="Times New Roman" w:cs="Times New Roman"/>
          <w:sz w:val="24"/>
          <w:szCs w:val="24"/>
        </w:rPr>
        <w:t>.</w:t>
      </w:r>
    </w:p>
    <w:p w14:paraId="554CE116" w14:textId="77777777" w:rsidR="00D71519" w:rsidRDefault="00000000">
      <w:pPr>
        <w:tabs>
          <w:tab w:val="left" w:pos="709"/>
        </w:tabs>
        <w:autoSpaceDE w:val="0"/>
        <w:spacing w:after="0" w:line="360" w:lineRule="auto"/>
        <w:ind w:left="567" w:hanging="567"/>
        <w:jc w:val="both"/>
        <w:rPr>
          <w:rFonts w:ascii="Times New Roman" w:hAnsi="Times New Roman" w:cs="Times New Roman"/>
          <w:sz w:val="24"/>
          <w:szCs w:val="24"/>
          <w:lang w:val="pt-BR"/>
        </w:rPr>
      </w:pPr>
      <w:r>
        <w:rPr>
          <w:rFonts w:ascii="Times New Roman" w:hAnsi="Times New Roman" w:cs="Times New Roman"/>
          <w:sz w:val="24"/>
          <w:szCs w:val="24"/>
        </w:rPr>
        <w:t xml:space="preserve">ONU. (2021). </w:t>
      </w:r>
      <w:r>
        <w:rPr>
          <w:rFonts w:ascii="Times New Roman" w:hAnsi="Times New Roman" w:cs="Times New Roman"/>
          <w:i/>
          <w:iCs/>
          <w:sz w:val="24"/>
          <w:szCs w:val="24"/>
        </w:rPr>
        <w:t>Estudio sobre la situación de personas con discapacidad en base a los datos del SIUBEN 2018.</w:t>
      </w:r>
      <w:r>
        <w:rPr>
          <w:rFonts w:ascii="Times New Roman" w:hAnsi="Times New Roman" w:cs="Times New Roman"/>
          <w:sz w:val="24"/>
          <w:szCs w:val="24"/>
        </w:rPr>
        <w:t xml:space="preserve"> </w:t>
      </w:r>
      <w:r>
        <w:rPr>
          <w:rFonts w:ascii="Times New Roman" w:hAnsi="Times New Roman" w:cs="Times New Roman"/>
          <w:sz w:val="24"/>
          <w:szCs w:val="24"/>
          <w:lang w:val="pt-BR"/>
        </w:rPr>
        <w:t xml:space="preserve">Informe final. Santo Domingo 2021. </w:t>
      </w:r>
      <w:r>
        <w:fldChar w:fldCharType="begin"/>
      </w:r>
      <w:r>
        <w:instrText xml:space="preserve"> HYPERLINK "https://dominicanrepublic.un.org/es/152121-estudio-sobre-la-situaci%C3%B3n-de-las-personas-con-discapacidad-en-base-los-datos-del-siuben" </w:instrText>
      </w:r>
      <w:r>
        <w:fldChar w:fldCharType="separate"/>
      </w:r>
      <w:r>
        <w:rPr>
          <w:rStyle w:val="Hipervnculo"/>
          <w:rFonts w:ascii="Times New Roman" w:hAnsi="Times New Roman" w:cs="Times New Roman"/>
          <w:sz w:val="24"/>
          <w:szCs w:val="24"/>
          <w:lang w:val="pt-BR"/>
        </w:rPr>
        <w:t>https://dominicanrepublic.un.org/es/152121-estudio-sobre-la-situaci%C3%B3n-de-las-personas-con-discapacidad-en-base-los-datos-del-siuben</w:t>
      </w:r>
      <w:r>
        <w:rPr>
          <w:rStyle w:val="Hipervnculo"/>
          <w:rFonts w:ascii="Times New Roman" w:hAnsi="Times New Roman" w:cs="Times New Roman"/>
          <w:sz w:val="24"/>
          <w:szCs w:val="24"/>
          <w:lang w:val="pt-BR"/>
        </w:rPr>
        <w:fldChar w:fldCharType="end"/>
      </w:r>
    </w:p>
    <w:p w14:paraId="0163FD0F" w14:textId="77777777" w:rsidR="00D71519" w:rsidRDefault="00000000">
      <w:pPr>
        <w:pStyle w:val="Default"/>
        <w:spacing w:line="360" w:lineRule="auto"/>
        <w:ind w:left="567" w:hanging="567"/>
        <w:jc w:val="both"/>
        <w:rPr>
          <w:rFonts w:ascii="Times New Roman" w:hAnsi="Times New Roman" w:cs="Times New Roman"/>
        </w:rPr>
      </w:pPr>
      <w:r>
        <w:rPr>
          <w:rFonts w:ascii="Times New Roman" w:hAnsi="Times New Roman" w:cs="Times New Roman"/>
        </w:rPr>
        <w:t xml:space="preserve">Pérez, N. y </w:t>
      </w:r>
      <w:proofErr w:type="spellStart"/>
      <w:r>
        <w:rPr>
          <w:rFonts w:ascii="Times New Roman" w:hAnsi="Times New Roman" w:cs="Times New Roman"/>
        </w:rPr>
        <w:t>Filella</w:t>
      </w:r>
      <w:proofErr w:type="spellEnd"/>
      <w:r>
        <w:rPr>
          <w:rFonts w:ascii="Times New Roman" w:hAnsi="Times New Roman" w:cs="Times New Roman"/>
        </w:rPr>
        <w:t xml:space="preserve">, G. (2019). </w:t>
      </w:r>
      <w:r>
        <w:rPr>
          <w:rFonts w:ascii="Times New Roman" w:hAnsi="Times New Roman" w:cs="Times New Roman"/>
          <w:i/>
          <w:iCs/>
        </w:rPr>
        <w:t xml:space="preserve">Educación emocional para el desarrollo de competencias emocionales en niños y adolescentes. </w:t>
      </w:r>
      <w:r>
        <w:rPr>
          <w:rFonts w:ascii="Times New Roman" w:hAnsi="Times New Roman" w:cs="Times New Roman"/>
          <w:iCs/>
        </w:rPr>
        <w:t>Praxis &amp; saber</w:t>
      </w:r>
      <w:r>
        <w:rPr>
          <w:rFonts w:ascii="Times New Roman" w:hAnsi="Times New Roman" w:cs="Times New Roman"/>
        </w:rPr>
        <w:t xml:space="preserve">, </w:t>
      </w:r>
      <w:r>
        <w:rPr>
          <w:rFonts w:ascii="Times New Roman" w:hAnsi="Times New Roman" w:cs="Times New Roman"/>
          <w:iCs/>
        </w:rPr>
        <w:t>10</w:t>
      </w:r>
      <w:r>
        <w:rPr>
          <w:rFonts w:ascii="Times New Roman" w:hAnsi="Times New Roman" w:cs="Times New Roman"/>
        </w:rPr>
        <w:t xml:space="preserve">(24), 23-44. </w:t>
      </w:r>
      <w:r>
        <w:fldChar w:fldCharType="begin"/>
      </w:r>
      <w:r>
        <w:instrText xml:space="preserve"> HYPERLINK "http://www.scielo.org.co/scielo.php" </w:instrText>
      </w:r>
      <w:r>
        <w:fldChar w:fldCharType="separate"/>
      </w:r>
      <w:r>
        <w:rPr>
          <w:rStyle w:val="Hipervnculo"/>
          <w:rFonts w:ascii="Times New Roman" w:hAnsi="Times New Roman" w:cs="Times New Roman"/>
        </w:rPr>
        <w:t>http://www.scielo.org.co/scielo.php</w:t>
      </w:r>
      <w:r>
        <w:rPr>
          <w:rStyle w:val="Hipervnculo"/>
          <w:rFonts w:ascii="Times New Roman" w:hAnsi="Times New Roman" w:cs="Times New Roman"/>
        </w:rPr>
        <w:fldChar w:fldCharType="end"/>
      </w:r>
      <w:r>
        <w:rPr>
          <w:rFonts w:ascii="Times New Roman" w:hAnsi="Times New Roman" w:cs="Times New Roman"/>
        </w:rPr>
        <w:t>.</w:t>
      </w:r>
    </w:p>
    <w:p w14:paraId="73EFE9C9" w14:textId="77777777" w:rsidR="00D71519" w:rsidRDefault="00000000">
      <w:pPr>
        <w:shd w:val="clear" w:color="auto" w:fill="FFFFFF"/>
        <w:spacing w:after="0" w:line="360" w:lineRule="auto"/>
        <w:ind w:left="567" w:hanging="567"/>
        <w:jc w:val="both"/>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 xml:space="preserve">Pérez, R. y Ramírez, S. (2019). </w:t>
      </w:r>
      <w:r>
        <w:rPr>
          <w:rFonts w:ascii="Times New Roman" w:eastAsia="Times New Roman" w:hAnsi="Times New Roman" w:cs="Times New Roman"/>
          <w:i/>
          <w:iCs/>
          <w:color w:val="000000"/>
          <w:sz w:val="24"/>
          <w:szCs w:val="24"/>
          <w:lang w:eastAsia="es-DO"/>
        </w:rPr>
        <w:t>Estrategias de capacitación para docentes en contextos inclusivos. </w:t>
      </w:r>
      <w:r>
        <w:rPr>
          <w:rFonts w:ascii="Times New Roman" w:eastAsia="Times New Roman" w:hAnsi="Times New Roman" w:cs="Times New Roman"/>
          <w:iCs/>
          <w:color w:val="000000"/>
          <w:sz w:val="24"/>
          <w:szCs w:val="24"/>
          <w:lang w:eastAsia="es-DO"/>
        </w:rPr>
        <w:t>Revista Latinoamericana de Educación</w:t>
      </w:r>
      <w:r>
        <w:rPr>
          <w:rFonts w:ascii="Times New Roman" w:eastAsia="Times New Roman" w:hAnsi="Times New Roman" w:cs="Times New Roman"/>
          <w:color w:val="000000"/>
          <w:sz w:val="24"/>
          <w:szCs w:val="24"/>
          <w:lang w:eastAsia="es-DO"/>
        </w:rPr>
        <w:t>, 14(2), 78-92.</w:t>
      </w:r>
    </w:p>
    <w:p w14:paraId="55E8ACD8" w14:textId="77777777" w:rsidR="00D71519" w:rsidRDefault="00000000">
      <w:pPr>
        <w:spacing w:after="0" w:line="360" w:lineRule="auto"/>
        <w:ind w:left="567" w:hanging="567"/>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es-DO"/>
        </w:rPr>
        <w:t xml:space="preserve">Rodríguez, Y. (2024). </w:t>
      </w:r>
      <w:r>
        <w:rPr>
          <w:rFonts w:ascii="Times New Roman" w:eastAsia="Times New Roman" w:hAnsi="Times New Roman" w:cs="Times New Roman"/>
          <w:i/>
          <w:iCs/>
          <w:color w:val="000000"/>
          <w:sz w:val="24"/>
          <w:szCs w:val="24"/>
          <w:lang w:eastAsia="es-DO"/>
        </w:rPr>
        <w:t>E</w:t>
      </w:r>
      <w:r>
        <w:rPr>
          <w:rFonts w:ascii="Times New Roman" w:hAnsi="Times New Roman" w:cs="Times New Roman"/>
          <w:i/>
          <w:iCs/>
          <w:color w:val="000000"/>
          <w:sz w:val="24"/>
          <w:szCs w:val="24"/>
          <w:lang w:val="es-US"/>
        </w:rPr>
        <w:t>l desarrollo de la habilidad diagnosticar en la enfermedad nodular del tiroides en los residentes de Endocrinología.</w:t>
      </w:r>
      <w:r>
        <w:rPr>
          <w:rFonts w:ascii="Times New Roman" w:hAnsi="Times New Roman" w:cs="Times New Roman"/>
          <w:color w:val="000000"/>
          <w:sz w:val="24"/>
          <w:szCs w:val="24"/>
          <w:lang w:val="es-US"/>
        </w:rPr>
        <w:t xml:space="preserve"> </w:t>
      </w:r>
      <w:r>
        <w:rPr>
          <w:rFonts w:ascii="Times New Roman" w:hAnsi="Times New Roman" w:cs="Times New Roman"/>
          <w:sz w:val="24"/>
          <w:szCs w:val="24"/>
        </w:rPr>
        <w:t xml:space="preserve">[Tesis doctoral no publicada]. Universidad “Ignacio Agramonte </w:t>
      </w:r>
      <w:proofErr w:type="spellStart"/>
      <w:r>
        <w:rPr>
          <w:rFonts w:ascii="Times New Roman" w:hAnsi="Times New Roman" w:cs="Times New Roman"/>
          <w:sz w:val="24"/>
          <w:szCs w:val="24"/>
        </w:rPr>
        <w:t>Loynaz</w:t>
      </w:r>
      <w:proofErr w:type="spellEnd"/>
      <w:r>
        <w:rPr>
          <w:rFonts w:ascii="Times New Roman" w:hAnsi="Times New Roman" w:cs="Times New Roman"/>
          <w:sz w:val="24"/>
          <w:szCs w:val="24"/>
        </w:rPr>
        <w:t>”. Camagüey, Cuba.</w:t>
      </w:r>
    </w:p>
    <w:p w14:paraId="5A3BC457" w14:textId="77777777" w:rsidR="00D71519" w:rsidRDefault="00000000">
      <w:pPr>
        <w:shd w:val="clear" w:color="auto" w:fill="FFFFFF"/>
        <w:spacing w:after="0" w:line="360" w:lineRule="auto"/>
        <w:ind w:left="567" w:hanging="567"/>
        <w:jc w:val="both"/>
        <w:rPr>
          <w:rFonts w:ascii="Times New Roman" w:eastAsia="Times New Roman" w:hAnsi="Times New Roman" w:cs="Times New Roman"/>
          <w:color w:val="000000"/>
          <w:sz w:val="24"/>
          <w:szCs w:val="24"/>
          <w:lang w:eastAsia="es-DO"/>
        </w:rPr>
      </w:pPr>
      <w:r>
        <w:rPr>
          <w:rFonts w:ascii="Times New Roman" w:eastAsia="Times New Roman" w:hAnsi="Times New Roman" w:cs="Times New Roman"/>
          <w:color w:val="000000"/>
          <w:sz w:val="24"/>
          <w:szCs w:val="24"/>
          <w:lang w:eastAsia="es-DO"/>
        </w:rPr>
        <w:t xml:space="preserve">Rodríguez, A. y Sánchez, M. (2021). </w:t>
      </w:r>
      <w:r>
        <w:rPr>
          <w:rFonts w:ascii="Times New Roman" w:eastAsia="Times New Roman" w:hAnsi="Times New Roman" w:cs="Times New Roman"/>
          <w:i/>
          <w:iCs/>
          <w:color w:val="000000"/>
          <w:sz w:val="24"/>
          <w:szCs w:val="24"/>
          <w:lang w:eastAsia="es-DO"/>
        </w:rPr>
        <w:t>La formación profesional como motor de inclusión educativa.</w:t>
      </w:r>
      <w:r>
        <w:rPr>
          <w:rFonts w:ascii="Times New Roman" w:eastAsia="Times New Roman" w:hAnsi="Times New Roman" w:cs="Times New Roman"/>
          <w:color w:val="000000"/>
          <w:sz w:val="24"/>
          <w:szCs w:val="24"/>
          <w:lang w:eastAsia="es-DO"/>
        </w:rPr>
        <w:t> </w:t>
      </w:r>
      <w:r>
        <w:rPr>
          <w:rFonts w:ascii="Times New Roman" w:eastAsia="Times New Roman" w:hAnsi="Times New Roman" w:cs="Times New Roman"/>
          <w:iCs/>
          <w:color w:val="000000"/>
          <w:sz w:val="24"/>
          <w:szCs w:val="24"/>
          <w:lang w:eastAsia="es-DO"/>
        </w:rPr>
        <w:t>Revista de Estudios Pedagógicos</w:t>
      </w:r>
      <w:r>
        <w:rPr>
          <w:rFonts w:ascii="Times New Roman" w:eastAsia="Times New Roman" w:hAnsi="Times New Roman" w:cs="Times New Roman"/>
          <w:color w:val="000000"/>
          <w:sz w:val="24"/>
          <w:szCs w:val="24"/>
          <w:lang w:eastAsia="es-DO"/>
        </w:rPr>
        <w:t>, 19(4), 101-115.</w:t>
      </w:r>
    </w:p>
    <w:p w14:paraId="41E830B2" w14:textId="77777777" w:rsidR="00D71519" w:rsidRDefault="00000000">
      <w:pPr>
        <w:shd w:val="clear" w:color="auto" w:fill="FFFFFF"/>
        <w:spacing w:after="0" w:line="360" w:lineRule="auto"/>
        <w:ind w:left="567" w:hanging="567"/>
        <w:jc w:val="both"/>
        <w:rPr>
          <w:rFonts w:ascii="Times New Roman" w:eastAsia="Calibri" w:hAnsi="Times New Roman" w:cs="Times New Roman"/>
          <w:sz w:val="24"/>
          <w:szCs w:val="24"/>
        </w:rPr>
      </w:pPr>
      <w:r>
        <w:rPr>
          <w:rFonts w:ascii="Times New Roman" w:hAnsi="Times New Roman" w:cs="Times New Roman"/>
          <w:sz w:val="24"/>
          <w:szCs w:val="24"/>
          <w:lang w:val="es-EC" w:eastAsia="ar-SA"/>
        </w:rPr>
        <w:t>Serrano</w:t>
      </w:r>
      <w:r>
        <w:rPr>
          <w:rFonts w:ascii="Times New Roman" w:hAnsi="Times New Roman" w:cs="Times New Roman"/>
          <w:sz w:val="24"/>
          <w:szCs w:val="24"/>
          <w:lang w:val="es-EC"/>
        </w:rPr>
        <w:t>,</w:t>
      </w:r>
      <w:r>
        <w:rPr>
          <w:rFonts w:ascii="Times New Roman" w:hAnsi="Times New Roman" w:cs="Times New Roman"/>
          <w:sz w:val="24"/>
          <w:szCs w:val="24"/>
          <w:lang w:val="es-EC" w:eastAsia="ar-SA"/>
        </w:rPr>
        <w:t xml:space="preserve"> L</w:t>
      </w:r>
      <w:r>
        <w:rPr>
          <w:rFonts w:ascii="Times New Roman" w:hAnsi="Times New Roman" w:cs="Times New Roman"/>
          <w:sz w:val="24"/>
          <w:szCs w:val="24"/>
          <w:lang w:val="es-EC"/>
        </w:rPr>
        <w:t>. (2016).</w:t>
      </w:r>
      <w:r>
        <w:rPr>
          <w:rFonts w:ascii="Times New Roman" w:hAnsi="Times New Roman" w:cs="Times New Roman"/>
          <w:i/>
          <w:iCs/>
          <w:sz w:val="24"/>
          <w:szCs w:val="24"/>
          <w:lang w:val="es-EC"/>
        </w:rPr>
        <w:t xml:space="preserve"> </w:t>
      </w:r>
      <w:r>
        <w:rPr>
          <w:rFonts w:ascii="Times New Roman" w:hAnsi="Times New Roman" w:cs="Times New Roman"/>
          <w:i/>
          <w:iCs/>
          <w:sz w:val="24"/>
          <w:szCs w:val="24"/>
          <w:lang w:val="es-EC" w:eastAsia="ar-SA"/>
        </w:rPr>
        <w:t xml:space="preserve">Estrategia para la superación a adiestrados de </w:t>
      </w:r>
      <w:proofErr w:type="spellStart"/>
      <w:r>
        <w:rPr>
          <w:rFonts w:ascii="Times New Roman" w:hAnsi="Times New Roman" w:cs="Times New Roman"/>
          <w:i/>
          <w:iCs/>
          <w:sz w:val="24"/>
          <w:szCs w:val="24"/>
          <w:lang w:val="es-EC" w:eastAsia="ar-SA"/>
        </w:rPr>
        <w:t>Educ</w:t>
      </w:r>
      <w:r>
        <w:rPr>
          <w:rFonts w:ascii="Times New Roman" w:hAnsi="Times New Roman" w:cs="Times New Roman"/>
          <w:i/>
          <w:iCs/>
          <w:sz w:val="24"/>
          <w:szCs w:val="24"/>
          <w:lang w:eastAsia="ar-SA"/>
        </w:rPr>
        <w:t>ación</w:t>
      </w:r>
      <w:proofErr w:type="spellEnd"/>
      <w:r>
        <w:rPr>
          <w:rFonts w:ascii="Times New Roman" w:hAnsi="Times New Roman" w:cs="Times New Roman"/>
          <w:i/>
          <w:iCs/>
          <w:sz w:val="24"/>
          <w:szCs w:val="24"/>
          <w:lang w:eastAsia="ar-SA"/>
        </w:rPr>
        <w:t xml:space="preserve"> Física dirigida a la corrección y/o compensación de los trastornos articulatorios en niños del primer ciclo con diagnóstico de Retraso Mental Leve.</w:t>
      </w:r>
      <w:r>
        <w:rPr>
          <w:rFonts w:ascii="Times New Roman" w:hAnsi="Times New Roman" w:cs="Times New Roman"/>
          <w:sz w:val="24"/>
          <w:szCs w:val="24"/>
          <w:lang w:eastAsia="ar-SA"/>
        </w:rPr>
        <w:t xml:space="preserve">  </w:t>
      </w:r>
      <w:r>
        <w:rPr>
          <w:rFonts w:ascii="Times New Roman" w:hAnsi="Times New Roman" w:cs="Times New Roman"/>
          <w:sz w:val="24"/>
          <w:szCs w:val="24"/>
        </w:rPr>
        <w:t xml:space="preserve">[Tesis doctoral no publicada]. </w:t>
      </w:r>
      <w:r>
        <w:rPr>
          <w:rFonts w:ascii="Times New Roman" w:hAnsi="Times New Roman" w:cs="Times New Roman"/>
          <w:iCs/>
          <w:sz w:val="24"/>
          <w:szCs w:val="24"/>
        </w:rPr>
        <w:t xml:space="preserve">Universidad de Camagüey “Ignacio Agramonte </w:t>
      </w:r>
      <w:proofErr w:type="spellStart"/>
      <w:r>
        <w:rPr>
          <w:rFonts w:ascii="Times New Roman" w:hAnsi="Times New Roman" w:cs="Times New Roman"/>
          <w:iCs/>
          <w:sz w:val="24"/>
          <w:szCs w:val="24"/>
        </w:rPr>
        <w:t>Loynaz</w:t>
      </w:r>
      <w:proofErr w:type="spellEnd"/>
      <w:r>
        <w:rPr>
          <w:rFonts w:ascii="Times New Roman" w:hAnsi="Times New Roman" w:cs="Times New Roman"/>
          <w:iCs/>
          <w:sz w:val="24"/>
          <w:szCs w:val="24"/>
        </w:rPr>
        <w:t>”.</w:t>
      </w:r>
      <w:r>
        <w:rPr>
          <w:rFonts w:ascii="Times New Roman" w:hAnsi="Times New Roman" w:cs="Times New Roman"/>
          <w:sz w:val="24"/>
          <w:szCs w:val="24"/>
        </w:rPr>
        <w:t xml:space="preserve"> Camagüey, Cuba.</w:t>
      </w:r>
    </w:p>
    <w:p w14:paraId="03A0F682" w14:textId="77777777" w:rsidR="00D71519" w:rsidRDefault="00000000">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Sierra, R. (2020). </w:t>
      </w:r>
      <w:r>
        <w:rPr>
          <w:rFonts w:ascii="Times New Roman" w:hAnsi="Times New Roman" w:cs="Times New Roman"/>
          <w:i/>
          <w:iCs/>
          <w:sz w:val="24"/>
          <w:szCs w:val="24"/>
        </w:rPr>
        <w:t xml:space="preserve">La alternativa y su conceptualización en el contexto pedagógico. Revista Transformación, </w:t>
      </w:r>
      <w:r>
        <w:rPr>
          <w:rFonts w:ascii="Times New Roman" w:hAnsi="Times New Roman" w:cs="Times New Roman"/>
          <w:sz w:val="24"/>
          <w:szCs w:val="24"/>
        </w:rPr>
        <w:t>16(2), 13-15. https://scielo.sld.cu/scielo.php?scri </w:t>
      </w:r>
    </w:p>
    <w:p w14:paraId="511D8489" w14:textId="77777777" w:rsidR="00D71519" w:rsidRDefault="00000000">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SIUBEN. (2018). </w:t>
      </w:r>
      <w:r>
        <w:rPr>
          <w:rFonts w:ascii="Times New Roman" w:hAnsi="Times New Roman" w:cs="Times New Roman"/>
          <w:i/>
          <w:iCs/>
          <w:sz w:val="24"/>
          <w:szCs w:val="24"/>
        </w:rPr>
        <w:t>Tercer Estudio Socioeconómico de Hogares.</w:t>
      </w:r>
      <w:r>
        <w:rPr>
          <w:rFonts w:ascii="Times New Roman" w:hAnsi="Times New Roman" w:cs="Times New Roman"/>
          <w:sz w:val="24"/>
          <w:szCs w:val="24"/>
        </w:rPr>
        <w:t xml:space="preserve"> Informe final. Santo Domingo: Organización de las Naciones Unidas.</w:t>
      </w:r>
      <w:r>
        <w:rPr>
          <w:rFonts w:ascii="Times New Roman" w:hAnsi="Times New Roman" w:cs="Times New Roman"/>
          <w:sz w:val="24"/>
          <w:szCs w:val="24"/>
          <w:lang w:eastAsia="es-DO"/>
        </w:rPr>
        <w:t xml:space="preserve"> </w:t>
      </w:r>
      <w:r>
        <w:fldChar w:fldCharType="begin"/>
      </w:r>
      <w:r>
        <w:instrText xml:space="preserve"> HYPERLINK "https://www.unicef.org" </w:instrText>
      </w:r>
      <w:r>
        <w:fldChar w:fldCharType="separate"/>
      </w:r>
      <w:r>
        <w:rPr>
          <w:rStyle w:val="Hipervnculo"/>
          <w:rFonts w:ascii="Times New Roman" w:hAnsi="Times New Roman" w:cs="Times New Roman"/>
          <w:sz w:val="24"/>
          <w:szCs w:val="24"/>
        </w:rPr>
        <w:t>https://www.unicef.org</w:t>
      </w:r>
      <w:r>
        <w:rPr>
          <w:rStyle w:val="Hipervnculo"/>
          <w:rFonts w:ascii="Times New Roman" w:hAnsi="Times New Roman" w:cs="Times New Roman"/>
          <w:sz w:val="24"/>
          <w:szCs w:val="24"/>
        </w:rPr>
        <w:fldChar w:fldCharType="end"/>
      </w:r>
    </w:p>
    <w:p w14:paraId="74725528" w14:textId="77777777" w:rsidR="00D71519" w:rsidRDefault="00000000">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Taro, J. (2019). </w:t>
      </w:r>
      <w:r>
        <w:rPr>
          <w:rFonts w:ascii="Times New Roman" w:hAnsi="Times New Roman" w:cs="Times New Roman"/>
          <w:bCs/>
          <w:i/>
          <w:iCs/>
          <w:sz w:val="24"/>
          <w:szCs w:val="24"/>
        </w:rPr>
        <w:t>Estrategia para la superación a graduados de Educación Física dirigida al desarrollo de la motricidad en adultos con hemiplejia crónica.</w:t>
      </w:r>
      <w:r>
        <w:rPr>
          <w:rFonts w:ascii="Times New Roman" w:hAnsi="Times New Roman" w:cs="Times New Roman"/>
          <w:sz w:val="24"/>
          <w:szCs w:val="24"/>
        </w:rPr>
        <w:t xml:space="preserve"> [Tesis doctoral no publicada]. </w:t>
      </w:r>
      <w:r>
        <w:rPr>
          <w:rFonts w:ascii="Times New Roman" w:hAnsi="Times New Roman" w:cs="Times New Roman"/>
          <w:iCs/>
          <w:sz w:val="24"/>
          <w:szCs w:val="24"/>
        </w:rPr>
        <w:t xml:space="preserve">Universidad de Camagüey “Ignacio Agramonte </w:t>
      </w:r>
      <w:proofErr w:type="spellStart"/>
      <w:r>
        <w:rPr>
          <w:rFonts w:ascii="Times New Roman" w:hAnsi="Times New Roman" w:cs="Times New Roman"/>
          <w:iCs/>
          <w:sz w:val="24"/>
          <w:szCs w:val="24"/>
        </w:rPr>
        <w:t>Loynaz</w:t>
      </w:r>
      <w:proofErr w:type="spellEnd"/>
      <w:r>
        <w:rPr>
          <w:rFonts w:ascii="Times New Roman" w:hAnsi="Times New Roman" w:cs="Times New Roman"/>
          <w:iCs/>
          <w:sz w:val="24"/>
          <w:szCs w:val="24"/>
        </w:rPr>
        <w:t>”.</w:t>
      </w:r>
      <w:r>
        <w:rPr>
          <w:rFonts w:ascii="Times New Roman" w:hAnsi="Times New Roman" w:cs="Times New Roman"/>
          <w:sz w:val="24"/>
          <w:szCs w:val="24"/>
        </w:rPr>
        <w:t xml:space="preserve"> Camagüey, Cuba.</w:t>
      </w:r>
    </w:p>
    <w:p w14:paraId="6139D41E" w14:textId="77777777" w:rsidR="00D71519" w:rsidRDefault="00D71519">
      <w:pPr>
        <w:spacing w:after="0" w:line="240" w:lineRule="auto"/>
        <w:ind w:left="567" w:hanging="567"/>
        <w:jc w:val="both"/>
        <w:rPr>
          <w:rFonts w:ascii="Times New Roman" w:hAnsi="Times New Roman" w:cs="Times New Roman"/>
          <w:sz w:val="24"/>
          <w:szCs w:val="24"/>
        </w:rPr>
      </w:pPr>
    </w:p>
    <w:p w14:paraId="028B7505" w14:textId="77777777" w:rsidR="00D71519" w:rsidRDefault="00000000">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3B14E66E" w14:textId="77777777" w:rsidR="00D71519" w:rsidRDefault="00000000">
      <w:pPr>
        <w:widowControl w:val="0"/>
        <w:spacing w:after="12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Los autores declaran que este manuscrito es original y no se ha enviado a otra revista. Somos responsables del contenido recogido en el artículo y en él no existen plagios ni conflictos de interés ni éticos</w:t>
      </w:r>
    </w:p>
    <w:p w14:paraId="2BD8EAD9" w14:textId="77777777" w:rsidR="00D71519" w:rsidRDefault="00000000">
      <w:pPr>
        <w:widowControl w:val="0"/>
        <w:spacing w:after="120" w:line="360" w:lineRule="auto"/>
        <w:jc w:val="both"/>
        <w:rPr>
          <w:rFonts w:ascii="Times New Roman" w:hAnsi="Times New Roman" w:cs="Times New Roman"/>
          <w:sz w:val="24"/>
          <w:szCs w:val="24"/>
          <w:shd w:val="clear" w:color="auto" w:fill="FFFFFF"/>
        </w:rPr>
      </w:pPr>
      <w:proofErr w:type="spellStart"/>
      <w:proofErr w:type="gramStart"/>
      <w:r>
        <w:rPr>
          <w:rFonts w:ascii="Times New Roman" w:hAnsi="Times New Roman" w:cs="Times New Roman"/>
          <w:sz w:val="24"/>
          <w:szCs w:val="24"/>
          <w:shd w:val="clear" w:color="auto" w:fill="FFFFFF"/>
        </w:rPr>
        <w:t>Lic</w:t>
      </w:r>
      <w:proofErr w:type="spellEnd"/>
      <w:r>
        <w:rPr>
          <w:rFonts w:ascii="Times New Roman" w:hAnsi="Times New Roman" w:cs="Times New Roman"/>
          <w:sz w:val="24"/>
          <w:szCs w:val="24"/>
          <w:shd w:val="clear" w:color="auto" w:fill="FFFFFF"/>
        </w:rPr>
        <w:t xml:space="preserve">  Sheila</w:t>
      </w:r>
      <w:proofErr w:type="gramEnd"/>
      <w:r>
        <w:rPr>
          <w:rFonts w:ascii="Times New Roman" w:hAnsi="Times New Roman" w:cs="Times New Roman"/>
          <w:sz w:val="24"/>
          <w:szCs w:val="24"/>
          <w:shd w:val="clear" w:color="auto" w:fill="FFFFFF"/>
        </w:rPr>
        <w:t xml:space="preserve"> Mariel Mella Jiménez: Conceptualización, análisis formal, investigación, visualización, redacción-borrador original, redacción-revisión y edición. </w:t>
      </w:r>
    </w:p>
    <w:p w14:paraId="3BB64BFE" w14:textId="77777777" w:rsidR="00D71519" w:rsidRDefault="00000000">
      <w:pPr>
        <w:widowControl w:val="0"/>
        <w:spacing w:after="120" w:line="360" w:lineRule="auto"/>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Dr.C</w:t>
      </w:r>
      <w:proofErr w:type="spellEnd"/>
      <w:r>
        <w:rPr>
          <w:rFonts w:ascii="Times New Roman" w:hAnsi="Times New Roman" w:cs="Times New Roman"/>
          <w:sz w:val="24"/>
          <w:szCs w:val="24"/>
          <w:shd w:val="clear" w:color="auto" w:fill="FFFFFF"/>
        </w:rPr>
        <w:t xml:space="preserve">. Ángel Luis Gómez Cardoso: Conceptualización, investigación, redacción-revisión y edición </w:t>
      </w:r>
      <w:proofErr w:type="spellStart"/>
      <w:r>
        <w:rPr>
          <w:rFonts w:ascii="Times New Roman" w:hAnsi="Times New Roman" w:cs="Times New Roman"/>
          <w:sz w:val="24"/>
          <w:szCs w:val="24"/>
          <w:shd w:val="clear" w:color="auto" w:fill="FFFFFF"/>
        </w:rPr>
        <w:t>Dr.C</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Clay</w:t>
      </w:r>
      <w:proofErr w:type="spellEnd"/>
      <w:r>
        <w:rPr>
          <w:rFonts w:ascii="Times New Roman" w:hAnsi="Times New Roman" w:cs="Times New Roman"/>
          <w:sz w:val="24"/>
          <w:szCs w:val="24"/>
          <w:shd w:val="clear" w:color="auto" w:fill="FFFFFF"/>
        </w:rPr>
        <w:t xml:space="preserve"> Pérez Jiménez: Conceptualización, investigación, redacción-revisión y edición.</w:t>
      </w:r>
    </w:p>
    <w:sectPr w:rsidR="00D71519" w:rsidSect="00916749">
      <w:headerReference w:type="default" r:id="rId9"/>
      <w:footerReference w:type="default" r:id="rId10"/>
      <w:pgSz w:w="12240" w:h="15840"/>
      <w:pgMar w:top="1980" w:right="1440" w:bottom="2970" w:left="1350" w:header="810" w:footer="451" w:gutter="0"/>
      <w:pgNumType w:start="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CFA2E" w14:textId="77777777" w:rsidR="00455634" w:rsidRDefault="00455634">
      <w:pPr>
        <w:spacing w:line="240" w:lineRule="auto"/>
      </w:pPr>
      <w:r>
        <w:separator/>
      </w:r>
    </w:p>
  </w:endnote>
  <w:endnote w:type="continuationSeparator" w:id="0">
    <w:p w14:paraId="1F8596ED" w14:textId="77777777" w:rsidR="00455634" w:rsidRDefault="00455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916749" w:rsidRPr="00916749" w14:paraId="46A21284"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663B630F" w14:textId="77777777" w:rsidR="00916749" w:rsidRPr="00916749" w:rsidRDefault="00916749" w:rsidP="00916749">
          <w:pPr>
            <w:spacing w:after="0" w:line="240" w:lineRule="auto"/>
            <w:rPr>
              <w:rFonts w:ascii="Calibri" w:eastAsia="Calibri" w:hAnsi="Calibri" w:cs="Times New Roman"/>
              <w:b/>
              <w:color w:val="FFFFFF"/>
              <w:lang w:val="en-US"/>
            </w:rPr>
          </w:pPr>
          <w:r w:rsidRPr="00916749">
            <w:rPr>
              <w:rFonts w:ascii="Calibri" w:eastAsia="Calibri" w:hAnsi="Calibri" w:cs="Times New Roman"/>
              <w:b/>
              <w:noProof/>
              <w:color w:val="FFFFFF"/>
              <w:lang w:val="en-US"/>
            </w:rPr>
            <w:drawing>
              <wp:inline distT="0" distB="0" distL="0" distR="0" wp14:anchorId="4D72A703" wp14:editId="427DEFB0">
                <wp:extent cx="1174805" cy="411480"/>
                <wp:effectExtent l="0" t="0" r="6350" b="7620"/>
                <wp:docPr id="10446426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0F54226D" w14:textId="77777777" w:rsidR="00916749" w:rsidRPr="00916749" w:rsidRDefault="00916749" w:rsidP="00916749">
          <w:pPr>
            <w:spacing w:after="0" w:line="240" w:lineRule="auto"/>
            <w:rPr>
              <w:rFonts w:ascii="Calibri" w:eastAsia="Calibri" w:hAnsi="Calibri" w:cs="Times New Roman"/>
              <w:color w:val="FFFFFF"/>
              <w:sz w:val="20"/>
              <w:lang w:val="es-CU"/>
            </w:rPr>
          </w:pPr>
          <w:r w:rsidRPr="00916749">
            <w:rPr>
              <w:rFonts w:ascii="Calibri" w:eastAsia="Calibri" w:hAnsi="Calibri" w:cs="Times New Roman"/>
              <w:color w:val="FFFFFF"/>
              <w:sz w:val="20"/>
              <w:lang w:val="es-CU"/>
            </w:rPr>
            <w:t xml:space="preserve">Artículo de acceso abierto distribuido bajo los términos de la licencia Creative </w:t>
          </w:r>
          <w:proofErr w:type="spellStart"/>
          <w:r w:rsidRPr="00916749">
            <w:rPr>
              <w:rFonts w:ascii="Calibri" w:eastAsia="Calibri" w:hAnsi="Calibri" w:cs="Times New Roman"/>
              <w:color w:val="FFFFFF"/>
              <w:sz w:val="20"/>
              <w:lang w:val="es-CU"/>
            </w:rPr>
            <w:t>Commons</w:t>
          </w:r>
          <w:proofErr w:type="spellEnd"/>
          <w:r w:rsidRPr="00916749">
            <w:rPr>
              <w:rFonts w:ascii="Calibri" w:eastAsia="Calibri" w:hAnsi="Calibri" w:cs="Times New Roman"/>
              <w:color w:val="FFFFFF"/>
              <w:sz w:val="20"/>
              <w:lang w:val="es-CU"/>
            </w:rPr>
            <w:t xml:space="preserve">. </w:t>
          </w:r>
        </w:p>
        <w:p w14:paraId="29B95942" w14:textId="77777777" w:rsidR="00916749" w:rsidRPr="00916749" w:rsidRDefault="00916749" w:rsidP="00916749">
          <w:pPr>
            <w:spacing w:after="0" w:line="240" w:lineRule="auto"/>
            <w:rPr>
              <w:rFonts w:ascii="Calibri" w:eastAsia="Calibri" w:hAnsi="Calibri" w:cs="Times New Roman"/>
              <w:b/>
              <w:color w:val="FFFFFF"/>
              <w:lang w:val="es-CU"/>
            </w:rPr>
          </w:pPr>
          <w:r w:rsidRPr="00916749">
            <w:rPr>
              <w:rFonts w:ascii="Calibri" w:eastAsia="Calibri" w:hAnsi="Calibri" w:cs="Times New Roman"/>
              <w:color w:val="FFFFFF"/>
              <w:sz w:val="20"/>
              <w:lang w:val="es-CU"/>
            </w:rPr>
            <w:t>Reconocimiento-</w:t>
          </w:r>
          <w:proofErr w:type="spellStart"/>
          <w:r w:rsidRPr="00916749">
            <w:rPr>
              <w:rFonts w:ascii="Calibri" w:eastAsia="Calibri" w:hAnsi="Calibri" w:cs="Times New Roman"/>
              <w:color w:val="FFFFFF"/>
              <w:sz w:val="20"/>
              <w:lang w:val="es-CU"/>
            </w:rPr>
            <w:t>NoComercial</w:t>
          </w:r>
          <w:proofErr w:type="spellEnd"/>
          <w:r w:rsidRPr="00916749">
            <w:rPr>
              <w:rFonts w:ascii="Calibri" w:eastAsia="Calibri" w:hAnsi="Calibri" w:cs="Times New Roman"/>
              <w:color w:val="FFFFFF"/>
              <w:sz w:val="20"/>
              <w:lang w:val="es-CU"/>
            </w:rPr>
            <w:t xml:space="preserve"> 4.0 Internacional (CC BY-NC 4.0)</w:t>
          </w:r>
        </w:p>
      </w:tc>
    </w:tr>
    <w:tr w:rsidR="00916749" w:rsidRPr="00916749" w14:paraId="58CEF868"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52AD2E1D" w14:textId="77777777" w:rsidR="00916749" w:rsidRPr="00916749" w:rsidRDefault="00916749" w:rsidP="00916749">
          <w:pPr>
            <w:spacing w:after="0" w:line="240" w:lineRule="auto"/>
            <w:jc w:val="center"/>
            <w:rPr>
              <w:rFonts w:ascii="Calibri" w:eastAsia="Calibri" w:hAnsi="Calibri" w:cs="Times New Roman"/>
              <w:color w:val="FFFFFF"/>
              <w:sz w:val="20"/>
              <w:lang w:val="es-CU"/>
            </w:rPr>
          </w:pPr>
          <w:r w:rsidRPr="00916749">
            <w:rPr>
              <w:rFonts w:ascii="Calibri" w:eastAsia="Calibri" w:hAnsi="Calibri" w:cs="Times New Roman"/>
              <w:color w:val="833C0B"/>
              <w:sz w:val="20"/>
              <w:lang w:val="es-CU"/>
            </w:rPr>
            <w:t>Calle 41 No. 3406 e/34 y 36 Playa, La Habana, Cuba.    /   revista@iccp.rimed.cu   /   www.cienciaspedagogicas.rimed.cu</w:t>
          </w:r>
        </w:p>
      </w:tc>
    </w:tr>
  </w:tbl>
  <w:p w14:paraId="171CA0E0" w14:textId="77777777" w:rsidR="00916749" w:rsidRDefault="00916749" w:rsidP="00916749">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2</w:t>
    </w:r>
    <w:r>
      <w:rPr>
        <w:caps/>
        <w:color w:val="5B9BD5" w:themeColor="accent1"/>
      </w:rPr>
      <w:fldChar w:fldCharType="end"/>
    </w:r>
  </w:p>
  <w:p w14:paraId="405464DA" w14:textId="77777777" w:rsidR="00D71519" w:rsidRDefault="00D715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522A3" w14:textId="77777777" w:rsidR="00455634" w:rsidRDefault="00455634">
      <w:pPr>
        <w:spacing w:after="0"/>
      </w:pPr>
      <w:r>
        <w:separator/>
      </w:r>
    </w:p>
  </w:footnote>
  <w:footnote w:type="continuationSeparator" w:id="0">
    <w:p w14:paraId="31E68C07" w14:textId="77777777" w:rsidR="00455634" w:rsidRDefault="00455634">
      <w:pPr>
        <w:spacing w:after="0"/>
      </w:pPr>
      <w:r>
        <w:continuationSeparator/>
      </w:r>
    </w:p>
  </w:footnote>
  <w:footnote w:id="1">
    <w:p w14:paraId="7461055B" w14:textId="77777777" w:rsidR="00D71519" w:rsidRDefault="00000000">
      <w:pPr>
        <w:pStyle w:val="Textonotapie"/>
        <w:snapToGrid w:val="0"/>
      </w:pPr>
      <w:r>
        <w:rPr>
          <w:rStyle w:val="Refdenotaalpie"/>
        </w:rPr>
        <w:footnoteRef/>
      </w:r>
      <w:r>
        <w:t xml:space="preserve"> Especialista en Discapacidad Auditiva</w:t>
      </w:r>
    </w:p>
  </w:footnote>
  <w:footnote w:id="2">
    <w:p w14:paraId="49176CC5" w14:textId="77777777" w:rsidR="00D71519" w:rsidRDefault="00000000">
      <w:pPr>
        <w:pStyle w:val="Textonotapie"/>
        <w:snapToGrid w:val="0"/>
      </w:pPr>
      <w:r>
        <w:rPr>
          <w:rStyle w:val="Refdenotaalpie"/>
        </w:rPr>
        <w:footnoteRef/>
      </w:r>
      <w:r>
        <w:t xml:space="preserve"> Docente, investigador y profesor titular </w:t>
      </w:r>
    </w:p>
  </w:footnote>
  <w:footnote w:id="3">
    <w:p w14:paraId="22B48D05" w14:textId="77777777" w:rsidR="00D71519" w:rsidRDefault="00000000">
      <w:pPr>
        <w:pStyle w:val="Textonotapie"/>
        <w:snapToGrid w:val="0"/>
      </w:pPr>
      <w:r>
        <w:rPr>
          <w:rStyle w:val="Refdenotaalpie"/>
        </w:rPr>
        <w:footnoteRef/>
      </w:r>
      <w:r>
        <w:t xml:space="preserve"> Docente, investigador y profesor titular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916749" w:rsidRPr="00916749" w14:paraId="31E9BAA1" w14:textId="77777777" w:rsidTr="0039226C">
      <w:trPr>
        <w:trHeight w:val="955"/>
        <w:jc w:val="center"/>
      </w:trPr>
      <w:tc>
        <w:tcPr>
          <w:tcW w:w="4821" w:type="dxa"/>
          <w:tcMar>
            <w:top w:w="72" w:type="dxa"/>
            <w:left w:w="115" w:type="dxa"/>
            <w:bottom w:w="72" w:type="dxa"/>
            <w:right w:w="115" w:type="dxa"/>
          </w:tcMar>
          <w:vAlign w:val="center"/>
        </w:tcPr>
        <w:p w14:paraId="5436E68C" w14:textId="77777777" w:rsidR="00916749" w:rsidRPr="00916749" w:rsidRDefault="00916749" w:rsidP="00916749">
          <w:pPr>
            <w:spacing w:after="0" w:line="240" w:lineRule="auto"/>
            <w:ind w:left="32" w:hanging="10"/>
            <w:jc w:val="center"/>
            <w:rPr>
              <w:rFonts w:ascii="Arial" w:eastAsia="DengXian" w:hAnsi="Arial" w:cs="Arial"/>
              <w:b/>
              <w:sz w:val="28"/>
              <w:szCs w:val="24"/>
              <w:lang w:val="zh-CN"/>
            </w:rPr>
          </w:pPr>
          <w:r w:rsidRPr="00916749">
            <w:rPr>
              <w:rFonts w:ascii="DengXian" w:eastAsia="DengXian" w:hAnsi="DengXian" w:cs="Times New Roman"/>
              <w:noProof/>
              <w:lang w:val="zh-CN" w:eastAsia="es-ES"/>
            </w:rPr>
            <w:drawing>
              <wp:inline distT="0" distB="0" distL="0" distR="0" wp14:anchorId="2C5DFAE3" wp14:editId="2C6EA72A">
                <wp:extent cx="2933700" cy="572341"/>
                <wp:effectExtent l="0" t="0" r="0" b="0"/>
                <wp:docPr id="8806839"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59376638" w14:textId="77777777" w:rsidR="00916749" w:rsidRPr="00916749" w:rsidRDefault="00916749" w:rsidP="00916749">
          <w:pPr>
            <w:spacing w:after="0" w:line="240" w:lineRule="auto"/>
            <w:jc w:val="center"/>
            <w:rPr>
              <w:rFonts w:ascii="DengXian" w:eastAsia="DengXian" w:hAnsi="DengXian" w:cs="Times New Roman"/>
              <w:b/>
              <w:color w:val="FFFFFF"/>
              <w:sz w:val="16"/>
              <w:szCs w:val="16"/>
              <w:lang w:val="zh-CN"/>
            </w:rPr>
          </w:pPr>
          <w:r w:rsidRPr="00916749">
            <w:rPr>
              <w:rFonts w:ascii="DengXian" w:eastAsia="DengXian" w:hAnsi="DengXian" w:cs="Times New Roman"/>
              <w:b/>
              <w:color w:val="FFFFFF"/>
              <w:sz w:val="16"/>
              <w:szCs w:val="16"/>
              <w:lang w:val="zh-CN"/>
            </w:rPr>
            <w:t>ISSN: 1605 – 5888    RNPS: 1844</w:t>
          </w:r>
        </w:p>
        <w:p w14:paraId="3D59589F" w14:textId="77777777" w:rsidR="00916749" w:rsidRPr="00916749" w:rsidRDefault="00916749" w:rsidP="00916749">
          <w:pPr>
            <w:spacing w:after="0" w:line="240" w:lineRule="auto"/>
            <w:jc w:val="center"/>
            <w:rPr>
              <w:rFonts w:ascii="DengXian" w:eastAsia="DengXian" w:hAnsi="DengXian" w:cs="Times New Roman"/>
              <w:b/>
              <w:color w:val="FFFFFF"/>
              <w:sz w:val="16"/>
              <w:szCs w:val="16"/>
            </w:rPr>
          </w:pPr>
          <w:r w:rsidRPr="00916749">
            <w:rPr>
              <w:rFonts w:ascii="DengXian" w:eastAsia="DengXian" w:hAnsi="DengXian" w:cs="Times New Roman"/>
              <w:b/>
              <w:color w:val="FFFFFF"/>
              <w:sz w:val="16"/>
              <w:szCs w:val="16"/>
              <w:lang w:val="zh-CN"/>
            </w:rPr>
            <w:t>V.</w:t>
          </w:r>
          <w:r w:rsidRPr="00916749">
            <w:rPr>
              <w:rFonts w:ascii="DengXian" w:eastAsia="DengXian" w:hAnsi="DengXian" w:cs="Times New Roman"/>
              <w:b/>
              <w:color w:val="FFFFFF"/>
              <w:sz w:val="16"/>
              <w:szCs w:val="16"/>
            </w:rPr>
            <w:t>18</w:t>
          </w:r>
          <w:r w:rsidRPr="00916749">
            <w:rPr>
              <w:rFonts w:ascii="DengXian" w:eastAsia="DengXian" w:hAnsi="DengXian" w:cs="Times New Roman"/>
              <w:b/>
              <w:color w:val="FFFFFF"/>
              <w:sz w:val="16"/>
              <w:szCs w:val="16"/>
              <w:lang w:val="zh-CN"/>
            </w:rPr>
            <w:t>. No.</w:t>
          </w:r>
          <w:r w:rsidRPr="00916749">
            <w:rPr>
              <w:rFonts w:ascii="DengXian" w:eastAsia="DengXian" w:hAnsi="DengXian" w:cs="Times New Roman"/>
              <w:b/>
              <w:color w:val="FFFFFF"/>
              <w:sz w:val="16"/>
              <w:szCs w:val="16"/>
            </w:rPr>
            <w:t>3</w:t>
          </w:r>
          <w:r w:rsidRPr="00916749">
            <w:rPr>
              <w:rFonts w:ascii="DengXian" w:eastAsia="DengXian" w:hAnsi="DengXian" w:cs="Times New Roman"/>
              <w:b/>
              <w:color w:val="FFFFFF"/>
              <w:sz w:val="16"/>
              <w:szCs w:val="16"/>
              <w:lang w:val="zh-CN"/>
            </w:rPr>
            <w:t xml:space="preserve"> (</w:t>
          </w:r>
          <w:r w:rsidRPr="00916749">
            <w:rPr>
              <w:rFonts w:ascii="DengXian" w:eastAsia="DengXian" w:hAnsi="DengXian" w:cs="Times New Roman"/>
              <w:b/>
              <w:color w:val="FFFFFF"/>
              <w:sz w:val="16"/>
              <w:szCs w:val="16"/>
            </w:rPr>
            <w:t>septiembre-diciembre</w:t>
          </w:r>
          <w:r w:rsidRPr="00916749">
            <w:rPr>
              <w:rFonts w:ascii="DengXian" w:eastAsia="DengXian" w:hAnsi="DengXian" w:cs="Times New Roman"/>
              <w:b/>
              <w:color w:val="FFFFFF"/>
              <w:sz w:val="16"/>
              <w:szCs w:val="16"/>
              <w:lang w:val="zh-CN"/>
            </w:rPr>
            <w:t>) Año 202</w:t>
          </w:r>
          <w:r w:rsidRPr="00916749">
            <w:rPr>
              <w:rFonts w:ascii="DengXian" w:eastAsia="DengXian" w:hAnsi="DengXian" w:cs="Times New Roman"/>
              <w:b/>
              <w:color w:val="FFFFFF"/>
              <w:sz w:val="16"/>
              <w:szCs w:val="16"/>
            </w:rPr>
            <w:t>5</w:t>
          </w:r>
          <w:r w:rsidRPr="00916749">
            <w:rPr>
              <w:rFonts w:ascii="DengXian" w:eastAsia="DengXian" w:hAnsi="DengXian" w:cs="Times New Roman"/>
              <w:b/>
              <w:color w:val="FFFFFF"/>
              <w:sz w:val="16"/>
              <w:szCs w:val="16"/>
              <w:lang w:val="zh-CN"/>
            </w:rPr>
            <w:t xml:space="preserve">, 4ta Etapa </w:t>
          </w:r>
        </w:p>
        <w:p w14:paraId="27A9A348" w14:textId="77777777" w:rsidR="00916749" w:rsidRPr="00916749" w:rsidRDefault="00916749" w:rsidP="00916749">
          <w:pPr>
            <w:spacing w:after="0" w:line="240" w:lineRule="auto"/>
            <w:jc w:val="center"/>
            <w:rPr>
              <w:rFonts w:ascii="DengXian" w:eastAsia="DengXian" w:hAnsi="DengXian" w:cs="Times New Roman"/>
              <w:b/>
              <w:color w:val="FFFFFF"/>
              <w:sz w:val="20"/>
              <w:szCs w:val="20"/>
            </w:rPr>
          </w:pPr>
          <w:r w:rsidRPr="00916749">
            <w:rPr>
              <w:rFonts w:ascii="DengXian" w:eastAsia="DengXian" w:hAnsi="DengXian" w:cs="Times New Roman"/>
              <w:b/>
              <w:color w:val="FFFFFF"/>
              <w:sz w:val="16"/>
              <w:szCs w:val="16"/>
              <w:lang w:val="zh-CN"/>
            </w:rPr>
            <w:t>Págs.</w:t>
          </w:r>
          <w:r w:rsidRPr="00916749">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42-56</w:t>
          </w:r>
        </w:p>
      </w:tc>
    </w:tr>
  </w:tbl>
  <w:p w14:paraId="6EA9722D" w14:textId="77777777" w:rsidR="00D71519" w:rsidRDefault="00D71519">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A72"/>
    <w:multiLevelType w:val="multilevel"/>
    <w:tmpl w:val="04D62A7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6E07713"/>
    <w:multiLevelType w:val="multilevel"/>
    <w:tmpl w:val="06E0771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3611E3D"/>
    <w:multiLevelType w:val="multilevel"/>
    <w:tmpl w:val="13611E3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56F65E53"/>
    <w:multiLevelType w:val="multilevel"/>
    <w:tmpl w:val="56F65E5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5B36696C"/>
    <w:multiLevelType w:val="multilevel"/>
    <w:tmpl w:val="5B3669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5B9B05BF"/>
    <w:multiLevelType w:val="multilevel"/>
    <w:tmpl w:val="5B9B05B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112240082">
    <w:abstractNumId w:val="3"/>
  </w:num>
  <w:num w:numId="2" w16cid:durableId="1193761930">
    <w:abstractNumId w:val="5"/>
  </w:num>
  <w:num w:numId="3" w16cid:durableId="1188253721">
    <w:abstractNumId w:val="0"/>
  </w:num>
  <w:num w:numId="4" w16cid:durableId="1169178917">
    <w:abstractNumId w:val="2"/>
  </w:num>
  <w:num w:numId="5" w16cid:durableId="1123840020">
    <w:abstractNumId w:val="1"/>
  </w:num>
  <w:num w:numId="6" w16cid:durableId="135072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7556C"/>
    <w:rsid w:val="000C55A7"/>
    <w:rsid w:val="001D6F32"/>
    <w:rsid w:val="00256960"/>
    <w:rsid w:val="0026601E"/>
    <w:rsid w:val="0029120C"/>
    <w:rsid w:val="002F4640"/>
    <w:rsid w:val="00402478"/>
    <w:rsid w:val="00424BC2"/>
    <w:rsid w:val="00441DC7"/>
    <w:rsid w:val="00455634"/>
    <w:rsid w:val="004E79AC"/>
    <w:rsid w:val="004F66AB"/>
    <w:rsid w:val="00501F05"/>
    <w:rsid w:val="00531D56"/>
    <w:rsid w:val="005C4909"/>
    <w:rsid w:val="005D77CB"/>
    <w:rsid w:val="0063134D"/>
    <w:rsid w:val="006A2B81"/>
    <w:rsid w:val="006D41EF"/>
    <w:rsid w:val="006D5B41"/>
    <w:rsid w:val="006E6D40"/>
    <w:rsid w:val="007C1741"/>
    <w:rsid w:val="007F569F"/>
    <w:rsid w:val="00823942"/>
    <w:rsid w:val="00916749"/>
    <w:rsid w:val="00951CAC"/>
    <w:rsid w:val="00975652"/>
    <w:rsid w:val="009913BB"/>
    <w:rsid w:val="009A5927"/>
    <w:rsid w:val="009F3942"/>
    <w:rsid w:val="00A41E4A"/>
    <w:rsid w:val="00B06158"/>
    <w:rsid w:val="00C7085A"/>
    <w:rsid w:val="00CB0CC8"/>
    <w:rsid w:val="00CF0E6C"/>
    <w:rsid w:val="00D71519"/>
    <w:rsid w:val="00DB612E"/>
    <w:rsid w:val="00E873A9"/>
    <w:rsid w:val="00F146C4"/>
    <w:rsid w:val="00F22173"/>
    <w:rsid w:val="00F67BCE"/>
    <w:rsid w:val="00FC63B0"/>
    <w:rsid w:val="00FC70D4"/>
    <w:rsid w:val="00FE1BDE"/>
    <w:rsid w:val="02D9203A"/>
    <w:rsid w:val="0989738A"/>
    <w:rsid w:val="1B3C5EBC"/>
    <w:rsid w:val="20025993"/>
    <w:rsid w:val="27C53386"/>
    <w:rsid w:val="431E4260"/>
    <w:rsid w:val="4A4C54E7"/>
    <w:rsid w:val="53B637DF"/>
    <w:rsid w:val="5962108A"/>
    <w:rsid w:val="5AD90D18"/>
    <w:rsid w:val="63F27C87"/>
    <w:rsid w:val="74A32171"/>
    <w:rsid w:val="7EDB3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FC1C9"/>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paragraph" w:styleId="Ttulo1">
    <w:name w:val="heading 1"/>
    <w:basedOn w:val="Normal"/>
    <w:next w:val="Normal"/>
    <w:link w:val="Ttulo1Car"/>
    <w:autoRedefine/>
    <w:qFormat/>
    <w:pPr>
      <w:keepNext/>
      <w:spacing w:after="0" w:line="240" w:lineRule="auto"/>
      <w:jc w:val="center"/>
      <w:outlineLvl w:val="0"/>
    </w:pPr>
    <w:rPr>
      <w:rFonts w:ascii="Calibri" w:eastAsia="Calibri" w:hAnsi="Calibri" w:cs="Calibri"/>
      <w:b/>
      <w:bCs/>
      <w:kern w:val="32"/>
      <w:sz w:val="32"/>
      <w:szCs w:val="32"/>
      <w:lang w:val="es-DO"/>
    </w:rPr>
  </w:style>
  <w:style w:type="paragraph" w:styleId="Ttulo4">
    <w:name w:val="heading 4"/>
    <w:basedOn w:val="Normal"/>
    <w:next w:val="Normal"/>
    <w:link w:val="Ttulo4C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semiHidden/>
    <w:unhideWhenUsed/>
    <w:qFormat/>
    <w:pPr>
      <w:spacing w:after="120" w:line="276" w:lineRule="auto"/>
    </w:pPr>
    <w:rPr>
      <w:rFonts w:ascii="Times New Roman" w:eastAsia="Calibri" w:hAnsi="Times New Roman" w:cs="Times New Roman"/>
    </w:rPr>
  </w:style>
  <w:style w:type="paragraph" w:styleId="Textoindependiente3">
    <w:name w:val="Body Text 3"/>
    <w:basedOn w:val="Normal"/>
    <w:link w:val="Textoindependiente3Car"/>
    <w:uiPriority w:val="99"/>
    <w:semiHidden/>
    <w:unhideWhenUsed/>
    <w:qFormat/>
    <w:pPr>
      <w:spacing w:after="120" w:line="276" w:lineRule="auto"/>
    </w:pPr>
    <w:rPr>
      <w:rFonts w:ascii="Times New Roman" w:eastAsia="Calibri" w:hAnsi="Times New Roman" w:cs="Times New Roman"/>
      <w:sz w:val="16"/>
      <w:szCs w:val="16"/>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character" w:styleId="nfasis">
    <w:name w:val="Emphasis"/>
    <w:basedOn w:val="Fuentedeprrafopredeter"/>
    <w:uiPriority w:val="20"/>
    <w:qFormat/>
    <w:rPr>
      <w:i/>
      <w:i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paragraph" w:styleId="HTMLconformatoprevio">
    <w:name w:val="HTML Preformatted"/>
    <w:basedOn w:val="Normal"/>
    <w:link w:val="HTMLconformatoprevioC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eastAsia="Calibri" w:hAnsi="Courier New" w:cs="Courier New"/>
      <w:sz w:val="20"/>
      <w:szCs w:val="20"/>
    </w:rPr>
  </w:style>
  <w:style w:type="character" w:styleId="Hipervnculo">
    <w:name w:val="Hyperlink"/>
    <w:basedOn w:val="Fuentedeprrafopredeter"/>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link w:val="PrrafodelistaCar"/>
    <w:qFormat/>
    <w:pPr>
      <w:ind w:left="720"/>
      <w:contextualSpacing/>
    </w:p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customStyle="1" w:styleId="AsuntodelcomentarioCar">
    <w:name w:val="Asunto del comentario Car"/>
    <w:basedOn w:val="TextocomentarioCar"/>
    <w:link w:val="Asuntodelcomentario"/>
    <w:uiPriority w:val="99"/>
    <w:semiHidden/>
    <w:qFormat/>
    <w:rPr>
      <w:b/>
      <w:bCs/>
      <w:sz w:val="20"/>
      <w:szCs w:val="20"/>
      <w:lang w:val="es-ES"/>
    </w:rPr>
  </w:style>
  <w:style w:type="character" w:customStyle="1" w:styleId="TextonotapieCar">
    <w:name w:val="Texto nota pie Car"/>
    <w:basedOn w:val="Fuentedeprrafopredeter"/>
    <w:link w:val="Textonotapie"/>
    <w:uiPriority w:val="99"/>
    <w:semiHidden/>
    <w:qFormat/>
    <w:rPr>
      <w:sz w:val="20"/>
      <w:szCs w:val="20"/>
      <w:lang w:val="es-ES"/>
    </w:rPr>
  </w:style>
  <w:style w:type="character" w:customStyle="1" w:styleId="Ttulo1Car">
    <w:name w:val="Título 1 Car"/>
    <w:basedOn w:val="Fuentedeprrafopredeter"/>
    <w:link w:val="Ttulo1"/>
    <w:qFormat/>
    <w:rPr>
      <w:rFonts w:ascii="Calibri" w:eastAsia="Calibri" w:hAnsi="Calibri" w:cs="Calibri"/>
      <w:b/>
      <w:bCs/>
      <w:kern w:val="32"/>
      <w:sz w:val="32"/>
      <w:szCs w:val="32"/>
      <w:lang w:val="es-DO"/>
    </w:rPr>
  </w:style>
  <w:style w:type="character" w:customStyle="1" w:styleId="HTMLconformatoprevioCar">
    <w:name w:val="HTML con formato previo Car"/>
    <w:basedOn w:val="Fuentedeprrafopredeter"/>
    <w:link w:val="HTMLconformatoprevio"/>
    <w:uiPriority w:val="99"/>
    <w:semiHidden/>
    <w:qFormat/>
    <w:rPr>
      <w:rFonts w:ascii="Courier New" w:eastAsia="Calibri" w:hAnsi="Courier New" w:cs="Courier New"/>
      <w:sz w:val="20"/>
      <w:szCs w:val="20"/>
      <w:lang w:val="es-ES"/>
    </w:rPr>
  </w:style>
  <w:style w:type="character" w:customStyle="1" w:styleId="TextoindependienteCar">
    <w:name w:val="Texto independiente Car"/>
    <w:basedOn w:val="Fuentedeprrafopredeter"/>
    <w:link w:val="Textoindependiente"/>
    <w:uiPriority w:val="99"/>
    <w:semiHidden/>
    <w:qFormat/>
    <w:rPr>
      <w:rFonts w:ascii="Times New Roman" w:eastAsia="Calibri" w:hAnsi="Times New Roman" w:cs="Times New Roman"/>
      <w:lang w:val="es-ES"/>
    </w:rPr>
  </w:style>
  <w:style w:type="character" w:customStyle="1" w:styleId="Textoindependiente3Car">
    <w:name w:val="Texto independiente 3 Car"/>
    <w:basedOn w:val="Fuentedeprrafopredeter"/>
    <w:link w:val="Textoindependiente3"/>
    <w:uiPriority w:val="99"/>
    <w:semiHidden/>
    <w:qFormat/>
    <w:rPr>
      <w:rFonts w:ascii="Times New Roman" w:eastAsia="Calibri" w:hAnsi="Times New Roman" w:cs="Times New Roman"/>
      <w:sz w:val="16"/>
      <w:szCs w:val="16"/>
      <w:lang w:val="es-ES"/>
    </w:rPr>
  </w:style>
  <w:style w:type="character" w:customStyle="1" w:styleId="PrrafodelistaCar">
    <w:name w:val="Párrafo de lista Car"/>
    <w:link w:val="Prrafodelista"/>
    <w:qFormat/>
    <w:locked/>
    <w:rPr>
      <w:lang w:val="es-ES"/>
    </w:rPr>
  </w:style>
  <w:style w:type="paragraph" w:customStyle="1" w:styleId="Default">
    <w:name w:val="Default"/>
    <w:uiPriority w:val="99"/>
    <w:qFormat/>
    <w:pPr>
      <w:autoSpaceDE w:val="0"/>
      <w:autoSpaceDN w:val="0"/>
      <w:adjustRightInd w:val="0"/>
    </w:pPr>
    <w:rPr>
      <w:rFonts w:ascii="Verdana" w:eastAsia="Calibri" w:hAnsi="Verdana" w:cs="Verdana"/>
      <w:color w:val="000000"/>
      <w:sz w:val="24"/>
      <w:szCs w:val="24"/>
      <w:lang w:val="es-ES"/>
    </w:rPr>
  </w:style>
  <w:style w:type="paragraph" w:customStyle="1" w:styleId="Textoindependiente2">
    <w:name w:val="Texto independiente+2"/>
    <w:basedOn w:val="Normal"/>
    <w:next w:val="Normal"/>
    <w:uiPriority w:val="99"/>
    <w:qFormat/>
    <w:pPr>
      <w:suppressAutoHyphens/>
      <w:autoSpaceDE w:val="0"/>
      <w:autoSpaceDN w:val="0"/>
      <w:spacing w:after="0" w:line="240" w:lineRule="auto"/>
    </w:pPr>
    <w:rPr>
      <w:rFonts w:ascii="Arial" w:eastAsia="Times New Roman" w:hAnsi="Arial" w:cs="Arial"/>
      <w:sz w:val="24"/>
      <w:szCs w:val="24"/>
      <w:lang w:eastAsia="es-ES"/>
    </w:rPr>
  </w:style>
  <w:style w:type="character" w:customStyle="1" w:styleId="Ttulo4Car">
    <w:name w:val="Título 4 Car"/>
    <w:basedOn w:val="Fuentedeprrafopredeter"/>
    <w:link w:val="Ttulo4"/>
    <w:uiPriority w:val="9"/>
    <w:semiHidden/>
    <w:qFormat/>
    <w:rPr>
      <w:rFonts w:asciiTheme="majorHAnsi" w:eastAsiaTheme="majorEastAsia" w:hAnsiTheme="majorHAnsi" w:cstheme="majorBidi"/>
      <w:i/>
      <w:iCs/>
      <w:color w:val="2E74B5" w:themeColor="accent1" w:themeShade="BF"/>
      <w:lang w:val="es-ES"/>
    </w:rPr>
  </w:style>
  <w:style w:type="table" w:customStyle="1" w:styleId="Tablaconcuadrcula1">
    <w:name w:val="Tabla con cuadrícula1"/>
    <w:basedOn w:val="Tablanormal"/>
    <w:next w:val="Tablaconcuadrcula"/>
    <w:uiPriority w:val="39"/>
    <w:qFormat/>
    <w:rsid w:val="0091674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916749"/>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9-0002-6896-89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7DFEC-490B-4734-93D3-7DDA0E30A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4223</Words>
  <Characters>24075</Characters>
  <Application>Microsoft Office Word</Application>
  <DocSecurity>0</DocSecurity>
  <Lines>200</Lines>
  <Paragraphs>56</Paragraphs>
  <ScaleCrop>false</ScaleCrop>
  <Company/>
  <LinksUpToDate>false</LinksUpToDate>
  <CharactersWithSpaces>28242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4</cp:revision>
  <cp:lastPrinted>2025-11-24T02:36:00Z</cp:lastPrinted>
  <dcterms:created xsi:type="dcterms:W3CDTF">2025-08-21T20:44:00Z</dcterms:created>
  <dcterms:modified xsi:type="dcterms:W3CDTF">2025-11-24T02:36:00Z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5B337881188B4949889E9BE87532C643_12</vt:lpwstr>
  </property>
</Properties>
</file>