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81CF" w14:textId="77777777" w:rsidR="00D71519" w:rsidRDefault="00000000">
      <w:pPr>
        <w:widowControl w:val="0"/>
        <w:jc w:val="center"/>
        <w:rPr>
          <w:rFonts w:ascii="Times New Roman" w:hAnsi="Times New Roman" w:cs="Times New Roman"/>
          <w:b/>
          <w:sz w:val="24"/>
        </w:rPr>
      </w:pPr>
      <w:r>
        <w:rPr>
          <w:rFonts w:ascii="Times New Roman" w:hAnsi="Times New Roman" w:cs="Times New Roman"/>
          <w:b/>
          <w:sz w:val="24"/>
        </w:rPr>
        <w:t>Superación docente para formar y desarrollar habilidades de preparación para la vida en estudiantes sordos</w:t>
      </w:r>
    </w:p>
    <w:p w14:paraId="1A09B90B" w14:textId="77777777" w:rsidR="00D71519" w:rsidRDefault="00000000">
      <w:pPr>
        <w:widowControl w:val="0"/>
        <w:jc w:val="center"/>
        <w:rPr>
          <w:rFonts w:ascii="Times New Roman" w:hAnsi="Times New Roman" w:cs="Times New Roman"/>
          <w:bCs/>
          <w:sz w:val="24"/>
          <w:lang w:val="en-US"/>
        </w:rPr>
      </w:pPr>
      <w:r>
        <w:t xml:space="preserve"> </w:t>
      </w:r>
      <w:r>
        <w:rPr>
          <w:rFonts w:ascii="Times New Roman" w:hAnsi="Times New Roman" w:cs="Times New Roman"/>
          <w:bCs/>
          <w:sz w:val="24"/>
          <w:lang w:val="en-US"/>
        </w:rPr>
        <w:t>Teacher development to train and develop life skills in deaf students</w:t>
      </w:r>
    </w:p>
    <w:p w14:paraId="020CA27B" w14:textId="77777777" w:rsidR="00D71519" w:rsidRDefault="00000000">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39C20719" w14:textId="77777777" w:rsidR="00D71519" w:rsidRDefault="00D71519">
      <w:pPr>
        <w:widowControl w:val="0"/>
        <w:rPr>
          <w:rFonts w:ascii="Times New Roman" w:hAnsi="Times New Roman" w:cs="Times New Roman"/>
          <w:b/>
          <w:sz w:val="28"/>
          <w:szCs w:val="24"/>
        </w:rPr>
      </w:pPr>
    </w:p>
    <w:p w14:paraId="63972FAF" w14:textId="77777777" w:rsidR="00D71519"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3A0D491B" w14:textId="77777777" w:rsidR="00D7151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Sheila Mariel Mella Jiménez</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2ABA664E" w14:textId="77777777" w:rsidR="00D7151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i/>
          <w:iCs/>
          <w:sz w:val="24"/>
          <w:szCs w:val="24"/>
        </w:rPr>
        <w:t xml:space="preserve">Correo: </w:t>
      </w:r>
      <w:r>
        <w:rPr>
          <w:rFonts w:ascii="Times New Roman" w:hAnsi="Times New Roman" w:cs="Times New Roman"/>
          <w:sz w:val="24"/>
          <w:szCs w:val="24"/>
        </w:rPr>
        <w:t>sheila.mella@utesur.edu.do</w:t>
      </w:r>
    </w:p>
    <w:p w14:paraId="4BF37B7A" w14:textId="77777777" w:rsidR="00D71519" w:rsidRDefault="00000000">
      <w:pPr>
        <w:widowControl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8" w:history="1">
        <w:r>
          <w:rPr>
            <w:rStyle w:val="Hipervnculo"/>
            <w:rFonts w:ascii="Times New Roman" w:hAnsi="Times New Roman" w:cs="Times New Roman"/>
            <w:sz w:val="24"/>
            <w:szCs w:val="24"/>
          </w:rPr>
          <w:t>https://orcid.org/0009-0002-6896-8950</w:t>
        </w:r>
      </w:hyperlink>
    </w:p>
    <w:p w14:paraId="56D4D98D" w14:textId="77777777" w:rsidR="00D7151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Universidad Tecnológica del Sur. Azua de Compostela, República Dominicana.</w:t>
      </w:r>
    </w:p>
    <w:p w14:paraId="3EAAD515" w14:textId="77777777" w:rsidR="00D71519" w:rsidRDefault="00D71519">
      <w:pPr>
        <w:widowControl w:val="0"/>
        <w:spacing w:after="0" w:line="360" w:lineRule="auto"/>
        <w:ind w:left="426"/>
        <w:jc w:val="both"/>
        <w:rPr>
          <w:rFonts w:ascii="Times New Roman" w:hAnsi="Times New Roman" w:cs="Times New Roman"/>
          <w:sz w:val="24"/>
          <w:szCs w:val="24"/>
        </w:rPr>
      </w:pPr>
    </w:p>
    <w:p w14:paraId="3ABD5ED2" w14:textId="77777777" w:rsidR="00D7151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Ángel Luis Gómez Cardoso</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0DEB701D" w14:textId="77777777" w:rsidR="00D71519" w:rsidRPr="0091674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i/>
          <w:iCs/>
          <w:sz w:val="24"/>
          <w:szCs w:val="24"/>
        </w:rPr>
        <w:t>Correo</w:t>
      </w:r>
      <w:r w:rsidRPr="00916749">
        <w:rPr>
          <w:rFonts w:ascii="Times New Roman" w:hAnsi="Times New Roman" w:cs="Times New Roman"/>
          <w:i/>
          <w:iCs/>
          <w:sz w:val="24"/>
          <w:szCs w:val="24"/>
        </w:rPr>
        <w:t>:</w:t>
      </w:r>
      <w:r w:rsidRPr="00916749">
        <w:rPr>
          <w:rFonts w:ascii="Times New Roman" w:hAnsi="Times New Roman" w:cs="Times New Roman"/>
          <w:sz w:val="24"/>
          <w:szCs w:val="24"/>
        </w:rPr>
        <w:t xml:space="preserve"> angelomezg53@gmail.com </w:t>
      </w:r>
    </w:p>
    <w:p w14:paraId="1C38C980" w14:textId="77777777" w:rsidR="00D71519" w:rsidRPr="00916749" w:rsidRDefault="00000000">
      <w:pPr>
        <w:widowControl w:val="0"/>
        <w:spacing w:after="0" w:line="360" w:lineRule="auto"/>
        <w:ind w:left="426"/>
        <w:jc w:val="both"/>
        <w:rPr>
          <w:rFonts w:ascii="Times New Roman" w:hAnsi="Times New Roman" w:cs="Times New Roman"/>
          <w:sz w:val="24"/>
          <w:szCs w:val="24"/>
        </w:rPr>
      </w:pPr>
      <w:proofErr w:type="spellStart"/>
      <w:r w:rsidRPr="00916749">
        <w:rPr>
          <w:rFonts w:ascii="Times New Roman" w:hAnsi="Times New Roman" w:cs="Times New Roman"/>
          <w:i/>
          <w:iCs/>
          <w:sz w:val="24"/>
          <w:szCs w:val="24"/>
        </w:rPr>
        <w:t>Orcid</w:t>
      </w:r>
      <w:proofErr w:type="spellEnd"/>
      <w:r w:rsidRPr="00916749">
        <w:rPr>
          <w:rFonts w:ascii="Times New Roman" w:hAnsi="Times New Roman" w:cs="Times New Roman"/>
          <w:i/>
          <w:iCs/>
          <w:sz w:val="24"/>
          <w:szCs w:val="24"/>
        </w:rPr>
        <w:t>:</w:t>
      </w:r>
      <w:r w:rsidRPr="00916749">
        <w:rPr>
          <w:rFonts w:ascii="Times New Roman" w:hAnsi="Times New Roman" w:cs="Times New Roman"/>
          <w:sz w:val="24"/>
          <w:szCs w:val="24"/>
        </w:rPr>
        <w:t xml:space="preserve"> https://orcid.org/0000-0002-4736-3517</w:t>
      </w:r>
    </w:p>
    <w:p w14:paraId="4996F97C" w14:textId="77777777" w:rsidR="00D71519" w:rsidRDefault="00000000">
      <w:pPr>
        <w:widowControl w:val="0"/>
        <w:spacing w:after="0"/>
        <w:ind w:left="426"/>
        <w:rPr>
          <w:rFonts w:ascii="Times New Roman" w:hAnsi="Times New Roman" w:cs="Times New Roman"/>
          <w:sz w:val="24"/>
          <w:szCs w:val="24"/>
        </w:rPr>
      </w:pPr>
      <w:r>
        <w:rPr>
          <w:rFonts w:ascii="Times New Roman" w:hAnsi="Times New Roman" w:cs="Times New Roman"/>
          <w:sz w:val="24"/>
          <w:szCs w:val="24"/>
        </w:rPr>
        <w:t xml:space="preserve">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3FEDD68D" w14:textId="77777777" w:rsidR="00D71519" w:rsidRDefault="00D71519">
      <w:pPr>
        <w:widowControl w:val="0"/>
        <w:spacing w:after="0" w:line="360" w:lineRule="auto"/>
        <w:ind w:left="426"/>
        <w:jc w:val="both"/>
        <w:rPr>
          <w:rFonts w:ascii="Times New Roman" w:hAnsi="Times New Roman" w:cs="Times New Roman"/>
          <w:sz w:val="24"/>
          <w:szCs w:val="24"/>
        </w:rPr>
      </w:pPr>
    </w:p>
    <w:p w14:paraId="224CA429" w14:textId="77777777" w:rsidR="00D71519" w:rsidRDefault="00000000">
      <w:pPr>
        <w:widowControl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Clay</w:t>
      </w:r>
      <w:proofErr w:type="spellEnd"/>
      <w:r>
        <w:rPr>
          <w:rFonts w:ascii="Times New Roman" w:hAnsi="Times New Roman" w:cs="Times New Roman"/>
          <w:sz w:val="24"/>
          <w:szCs w:val="24"/>
        </w:rPr>
        <w:t xml:space="preserve"> Pérez Jiménez</w:t>
      </w:r>
      <w:r>
        <w:rPr>
          <w:rStyle w:val="Refdenotaalpie"/>
          <w:rFonts w:ascii="Times New Roman" w:hAnsi="Times New Roman" w:cs="Times New Roman"/>
          <w:sz w:val="24"/>
          <w:szCs w:val="24"/>
        </w:rPr>
        <w:footnoteReference w:id="3"/>
      </w:r>
    </w:p>
    <w:p w14:paraId="71427090" w14:textId="77777777" w:rsidR="00D71519" w:rsidRDefault="0000000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i/>
          <w:iCs/>
          <w:sz w:val="24"/>
          <w:szCs w:val="24"/>
        </w:rPr>
        <w:t>Correo</w:t>
      </w:r>
      <w:r>
        <w:rPr>
          <w:rFonts w:ascii="Times New Roman" w:hAnsi="Times New Roman" w:cs="Times New Roman"/>
          <w:sz w:val="24"/>
          <w:szCs w:val="24"/>
        </w:rPr>
        <w:t xml:space="preserve">: perezjimenezclay@gmail.com </w:t>
      </w:r>
    </w:p>
    <w:p w14:paraId="1CE542F2" w14:textId="77777777" w:rsidR="00D71519" w:rsidRDefault="00000000">
      <w:pPr>
        <w:widowControl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sz w:val="24"/>
          <w:szCs w:val="24"/>
        </w:rPr>
        <w:t>:  https://orcid.org/0000-0001-8392-2710</w:t>
      </w:r>
    </w:p>
    <w:p w14:paraId="2245F07E" w14:textId="77777777" w:rsidR="00D71519" w:rsidRDefault="00000000">
      <w:pPr>
        <w:widowControl w:val="0"/>
        <w:spacing w:after="0"/>
        <w:ind w:firstLineChars="150" w:firstLine="360"/>
        <w:rPr>
          <w:rFonts w:ascii="Times New Roman" w:hAnsi="Times New Roman" w:cs="Times New Roman"/>
          <w:sz w:val="24"/>
          <w:szCs w:val="24"/>
        </w:rPr>
      </w:pPr>
      <w:r>
        <w:rPr>
          <w:rFonts w:ascii="Times New Roman" w:hAnsi="Times New Roman" w:cs="Times New Roman"/>
          <w:sz w:val="24"/>
          <w:szCs w:val="24"/>
        </w:rPr>
        <w:t xml:space="preserve">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7027DC8D" w14:textId="77777777" w:rsidR="00D71519" w:rsidRDefault="00D71519">
      <w:pPr>
        <w:widowControl w:val="0"/>
        <w:spacing w:after="0"/>
        <w:ind w:firstLineChars="150" w:firstLine="360"/>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71519" w14:paraId="74D52598" w14:textId="77777777">
        <w:tc>
          <w:tcPr>
            <w:tcW w:w="2942" w:type="dxa"/>
            <w:shd w:val="clear" w:color="auto" w:fill="00B0F0"/>
          </w:tcPr>
          <w:p w14:paraId="4444F1B4" w14:textId="77777777" w:rsidR="00D71519"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23F95032" w14:textId="77777777" w:rsidR="00D71519"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2E8664C8" w14:textId="77777777" w:rsidR="00D71519"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D71519" w14:paraId="493890E2" w14:textId="77777777">
        <w:tc>
          <w:tcPr>
            <w:tcW w:w="2942" w:type="dxa"/>
          </w:tcPr>
          <w:p w14:paraId="3010295D" w14:textId="77777777" w:rsidR="00D71519"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13 de mayo de 2025</w:t>
            </w:r>
          </w:p>
        </w:tc>
        <w:tc>
          <w:tcPr>
            <w:tcW w:w="2943" w:type="dxa"/>
          </w:tcPr>
          <w:p w14:paraId="770F930C" w14:textId="77777777" w:rsidR="00D71519"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15 de agosto de 2025</w:t>
            </w:r>
          </w:p>
        </w:tc>
        <w:tc>
          <w:tcPr>
            <w:tcW w:w="2943" w:type="dxa"/>
          </w:tcPr>
          <w:p w14:paraId="2B893164" w14:textId="77777777" w:rsidR="00D71519"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1A1B19DA" w14:textId="77777777" w:rsidR="00D71519"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 xml:space="preserve">Resumen </w:t>
      </w:r>
    </w:p>
    <w:p w14:paraId="1CBB7B51" w14:textId="77777777" w:rsidR="00D71519"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Este estudio tuvo como propósito analizar cómo se concibe la superación profesional del docente del nivel primario para la formación y desarrollo de habilidades de preparación para la vida en alumnos con discapacidad auditiva. La investigación, de diseño cualitativo-cuantitativo, analizó fuentes científicas relevantes para modelar el proceso de superación de los referidos docentes de modo que su interacción con los alumnos con discapacidad auditiva fuera más efectiva en la formación y desarrollo de las habilidades para la vida por el valor que estas representan en la inclusión socio educativa de estos, ligado a la equiparación de oportunidades. Los resultados subrayaron la relevancia de vincular la superación profesional de los docentes con experiencias prácticas y fortalecer la formación y desarrollo de las referidas habilidades de los alumnos, lo cual optimiza tanto el aprendizaje como el desempeño como seres sociales. La estrategia ofrece una nueva mirada a la superación profesional del docente del nivel primario para la formación y desarrollo de habilidades de preparación para la vida en alumnos con discapacidad auditiva. Se emplearon métodos del nivel teórico, empírico y estadístico-matemáticos para la constatación de los resultados</w:t>
      </w:r>
      <w:r>
        <w:rPr>
          <w:rFonts w:ascii="Times New Roman" w:eastAsia="Calibri" w:hAnsi="Times New Roman" w:cs="Times New Roman"/>
          <w:sz w:val="24"/>
          <w:szCs w:val="24"/>
        </w:rPr>
        <w:t>.</w:t>
      </w:r>
    </w:p>
    <w:p w14:paraId="5F7691F7" w14:textId="77777777" w:rsidR="00D71519"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Palabras clave:</w:t>
      </w:r>
      <w:r>
        <w:rPr>
          <w:rFonts w:ascii="Times New Roman" w:eastAsia="Calibri" w:hAnsi="Times New Roman" w:cs="Times New Roman"/>
          <w:sz w:val="24"/>
          <w:szCs w:val="24"/>
          <w:lang w:val="es-MX"/>
        </w:rPr>
        <w:t xml:space="preserve"> Estrategia; superación profesional; docentes; habilidades para la vida; alumnos con discapacidad auditiva.</w:t>
      </w:r>
    </w:p>
    <w:p w14:paraId="62CA8BC4" w14:textId="77777777" w:rsidR="00D71519" w:rsidRDefault="00000000">
      <w:pPr>
        <w:widowControl w:val="0"/>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Abstract</w:t>
      </w:r>
    </w:p>
    <w:p w14:paraId="0F60D2A5" w14:textId="77777777" w:rsidR="00D71519" w:rsidRDefault="00000000">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purpose of this study was to analyze how primary school teacher professional development is conceived for the development and preparation of life skills in students with hearing impairments. The qualitative-quantitative research analyzed relevant scientific sources to model the development process of these teachers so that their interaction with students with hearing impairments would be more effective in the development and preparation of life skills, given the value these represent for their socio-educational inclusion linked to equal opportunities. The results underscored the </w:t>
      </w:r>
      <w:r>
        <w:rPr>
          <w:rFonts w:ascii="Times New Roman" w:eastAsia="Calibri" w:hAnsi="Times New Roman" w:cs="Times New Roman"/>
          <w:sz w:val="24"/>
          <w:szCs w:val="24"/>
          <w:lang w:val="en-US"/>
        </w:rPr>
        <w:lastRenderedPageBreak/>
        <w:t>importance of linking teachers' professional development with practical experiences and strengthening the development and preparation of these skills in students, which optimizes both learning and performance as social beings. The strategy offers a new perspective on the professional development of primary school teachers for the development and preparation of life skills in students with hearing impairments. Theoretical, empirical, and statistical-mathematical methods were used to verify the results.</w:t>
      </w:r>
    </w:p>
    <w:p w14:paraId="107DC1C3" w14:textId="77777777" w:rsidR="00D71519" w:rsidRDefault="00000000">
      <w:pPr>
        <w:widowControl w:val="0"/>
        <w:spacing w:line="360" w:lineRule="auto"/>
        <w:jc w:val="both"/>
        <w:rPr>
          <w:rFonts w:ascii="Times New Roman" w:eastAsia="Calibri" w:hAnsi="Times New Roman" w:cs="Times New Roman"/>
          <w:iCs/>
          <w:sz w:val="24"/>
          <w:szCs w:val="24"/>
          <w:lang w:val="en-US"/>
        </w:rPr>
      </w:pPr>
      <w:r>
        <w:rPr>
          <w:rFonts w:ascii="Times New Roman" w:eastAsia="Calibri" w:hAnsi="Times New Roman" w:cs="Times New Roman"/>
          <w:i/>
          <w:iCs/>
          <w:sz w:val="24"/>
          <w:szCs w:val="24"/>
          <w:lang w:val="en-US"/>
        </w:rPr>
        <w:t>Keywords:</w:t>
      </w:r>
      <w:r>
        <w:rPr>
          <w:rFonts w:ascii="Times New Roman" w:eastAsia="Calibri" w:hAnsi="Times New Roman" w:cs="Times New Roman"/>
          <w:sz w:val="24"/>
          <w:szCs w:val="24"/>
          <w:lang w:val="en-US"/>
        </w:rPr>
        <w:t xml:space="preserve"> Strategy; professional development; teachers; life skills; students with hearing impairments.</w:t>
      </w:r>
    </w:p>
    <w:p w14:paraId="437F03B2" w14:textId="77777777" w:rsidR="00D71519"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7ABDA3CB" w14:textId="77777777" w:rsidR="00D71519"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calidad de la educación en el nivel primario depende en gran medida de la preparación y formación continua de los docentes, especialmente para atender a estudiantes con discapacidades, como la auditiva. La inclusión efectiva requiere que los maestros posean competencias específicas que les permitan adaptar sus prácticas pedagógicas y fomentar un aprendizaje significativo (García &amp; López, 2018). La capacitación en metodologías inclusivas y estrategias orientadas al desarrollo de habilidades para la vida favorece la participación activa de los alumnos y contribuye a crear ambientes educativos equitativos y efectivos.</w:t>
      </w:r>
    </w:p>
    <w:p w14:paraId="5841A4AC" w14:textId="77777777" w:rsidR="00D71519"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superación profesional del docente del nivel primario es clave para garantizar una educación de calidad y atender adecuadamente a estudiantes con discapacidad auditiva. La actualización constante en recursos, metodologías y tecnologías asistidas fortalece sus competencias y promueve la autonomía, la comunicación y la integración social de los alumnos (Pérez &amp; Ramírez, 2019; Martínez, 2020). Así, la formación docente continua no solo mejora las prácticas pedagógicas, sino que también fomenta una actitud comprometida hacia la inclusión, consolidando la preparación de los estudiantes para enfrentar los desafíos del entorno escolar y social (Rodríguez &amp; Sánchez, 2021). De todo lo anterior, se puede señalar que el objetivo general de la estrategia es contribuir al </w:t>
      </w:r>
      <w:r>
        <w:rPr>
          <w:rFonts w:ascii="Times New Roman" w:eastAsia="Calibri" w:hAnsi="Times New Roman" w:cs="Times New Roman"/>
          <w:sz w:val="24"/>
          <w:szCs w:val="24"/>
          <w:lang w:val="es-MX"/>
        </w:rPr>
        <w:lastRenderedPageBreak/>
        <w:t>dominio de herramientas para el desarrollo de habilidades de preparación para la vida por parte del docente del nivel primario, sustentándose teóricamente en cada uno de los componentes propuestos.</w:t>
      </w:r>
    </w:p>
    <w:p w14:paraId="6957331F" w14:textId="77777777" w:rsidR="00D71519"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515127E5" w14:textId="77777777" w:rsidR="00D71519" w:rsidRDefault="0000000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formación y desarrollo profesional de los docentes del nivel primario es esencial para garantizar una educación inclusiva y de calidad, especialmente en alumnos con discapacidad auditiva. La implementación de estrategias efectivas de superación profesional permite mejorar competencias pedagógicas y desarrollar habilidades que faciliten la preparación para la vida de los estudiantes, promoviendo su autonomía y participación activa (Flores &amp; García, 2020). La capacitación continua y actualización de conocimientos responden a las necesidades específicas de estos alumnos, favoreciendo entornos educativos inclusivos y equitativos (Ministerio de Educación, 2019). Diseñar estrategias que consideren las particularidades de la discapacidad auditiva fortalece la formación docente y contribuye a mejorar los resultados de aprendizaje y la calidad de vida de los estudiantes.</w:t>
      </w:r>
    </w:p>
    <w:p w14:paraId="31744ACB" w14:textId="77777777" w:rsidR="00D71519" w:rsidRDefault="0000000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Los seres humanos requieren establecer relaciones con su entorno, lo que demanda habilidades de interacción social. La carencia de estas habilidades limita el desarrollo integral y el bienestar físico, mental y social, afectando la capacidad de alcanzar metas y participar activamente en la sociedad (Arévalo &amp; Mendoza, 2018). Según la Organización Mundial de la Salud (2017), más del 5% de la población mundial presenta pérdida auditiva, incluyendo 34 millones de alumnos; se estima que para 2050, una de cada diez personas sufrirá pérdida auditiva </w:t>
      </w:r>
      <w:proofErr w:type="spellStart"/>
      <w:r>
        <w:rPr>
          <w:rFonts w:ascii="Times New Roman" w:hAnsi="Times New Roman" w:cs="Times New Roman"/>
          <w:color w:val="000000"/>
          <w:sz w:val="24"/>
          <w:szCs w:val="24"/>
          <w:shd w:val="clear" w:color="auto" w:fill="FFFFFF"/>
        </w:rPr>
        <w:t>discapacitante</w:t>
      </w:r>
      <w:proofErr w:type="spellEnd"/>
      <w:r>
        <w:rPr>
          <w:rFonts w:ascii="Times New Roman" w:hAnsi="Times New Roman" w:cs="Times New Roman"/>
          <w:color w:val="000000"/>
          <w:sz w:val="24"/>
          <w:szCs w:val="24"/>
          <w:shd w:val="clear" w:color="auto" w:fill="FFFFFF"/>
        </w:rPr>
        <w:t xml:space="preserve"> (ONU, 2021).</w:t>
      </w:r>
    </w:p>
    <w:p w14:paraId="556615FA" w14:textId="77777777" w:rsidR="00D71519" w:rsidRDefault="00D71519">
      <w:pPr>
        <w:spacing w:after="0" w:line="360" w:lineRule="auto"/>
        <w:jc w:val="both"/>
        <w:rPr>
          <w:rFonts w:ascii="Times New Roman" w:hAnsi="Times New Roman" w:cs="Times New Roman"/>
          <w:color w:val="000000"/>
          <w:sz w:val="24"/>
          <w:szCs w:val="24"/>
          <w:shd w:val="clear" w:color="auto" w:fill="FFFFFF"/>
        </w:rPr>
      </w:pPr>
    </w:p>
    <w:p w14:paraId="4865F58E" w14:textId="77777777" w:rsidR="00D71519" w:rsidRDefault="0000000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Las personas con discapacidad enfrentan mayores desigualdades en educación, salud y participación económica, especialmente mujeres, niños y adultos mayores (SIUBEN, 2018). La Convención sobre los Derechos de las Personas con Discapacidad (2020) señala que la discapacidad surge de la interacción entre la persona y su entorno, enfatizando la necesidad de estrategias educativas inclusivas. Organizaciones internacionales, como la OPS y agencias de la ONU, han </w:t>
      </w:r>
      <w:r>
        <w:rPr>
          <w:rFonts w:ascii="Times New Roman" w:hAnsi="Times New Roman" w:cs="Times New Roman"/>
          <w:color w:val="000000"/>
          <w:sz w:val="24"/>
          <w:szCs w:val="24"/>
          <w:shd w:val="clear" w:color="auto" w:fill="FFFFFF"/>
        </w:rPr>
        <w:lastRenderedPageBreak/>
        <w:t xml:space="preserve">impulsado políticas y leyes que promueven la participación activa de estos alumnos (Pérez &amp; </w:t>
      </w:r>
      <w:proofErr w:type="spellStart"/>
      <w:r>
        <w:rPr>
          <w:rFonts w:ascii="Times New Roman" w:hAnsi="Times New Roman" w:cs="Times New Roman"/>
          <w:color w:val="000000"/>
          <w:sz w:val="24"/>
          <w:szCs w:val="24"/>
          <w:shd w:val="clear" w:color="auto" w:fill="FFFFFF"/>
        </w:rPr>
        <w:t>Filella</w:t>
      </w:r>
      <w:proofErr w:type="spellEnd"/>
      <w:r>
        <w:rPr>
          <w:rFonts w:ascii="Times New Roman" w:hAnsi="Times New Roman" w:cs="Times New Roman"/>
          <w:color w:val="000000"/>
          <w:sz w:val="24"/>
          <w:szCs w:val="24"/>
          <w:shd w:val="clear" w:color="auto" w:fill="FFFFFF"/>
        </w:rPr>
        <w:t>, 2019). Estas iniciativas también generan oportunidades para que los docentes fortalezcan sus competencias y adopten prácticas educativas más efectivas.</w:t>
      </w:r>
    </w:p>
    <w:p w14:paraId="0A8A2B58" w14:textId="77777777" w:rsidR="00D71519" w:rsidRDefault="00000000">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El desarrollo de habilidades para la vida es fundamental para la autonomía y competencia social del alumno, iniciándose desde el hogar y la escuela; factores como pobreza, desigualdad o abandono pueden poner en riesgo este proceso (Montero &amp; Gómez, 2021). Los desajustes en el desarrollo psicosocial de alumnos con discapacidad auditiva, muchas veces derivados de negligencia familiar, afectan su competencia social y preparación para la vida. Por ello, la educación en habilidades de preparación para la vida se vuelve prioritaria, reconociendo que muchos alumnos no cuentan con las destrezas necesarias para enfrentar los desafíos contemporáneos (OMS, 2017). Los estudiantes con discapacidad auditiva requieren atención específica para promover su participación, igualdad de oportunidades y desarrollo integral, facilitando una expresión plena de su personalidad y un uso óptimo de sus recursos internos y externos.</w:t>
      </w:r>
    </w:p>
    <w:p w14:paraId="71AD91E1" w14:textId="77777777" w:rsidR="00D71519" w:rsidRDefault="00000000">
      <w:pPr>
        <w:pStyle w:val="Ttulo1"/>
        <w:tabs>
          <w:tab w:val="left" w:pos="708"/>
        </w:tabs>
        <w:spacing w:line="360" w:lineRule="auto"/>
        <w:rPr>
          <w:rFonts w:ascii="Times New Roman" w:hAnsi="Times New Roman" w:cs="Times New Roman"/>
          <w:sz w:val="24"/>
          <w:szCs w:val="24"/>
        </w:rPr>
      </w:pPr>
      <w:r>
        <w:rPr>
          <w:rFonts w:ascii="Times New Roman" w:hAnsi="Times New Roman" w:cs="Times New Roman"/>
          <w:sz w:val="24"/>
          <w:szCs w:val="24"/>
        </w:rPr>
        <w:t xml:space="preserve">MATERIALES Y MÉTODOS </w:t>
      </w:r>
    </w:p>
    <w:p w14:paraId="2AC24672" w14:textId="77777777" w:rsidR="00D71519" w:rsidRDefault="00000000">
      <w:pPr>
        <w:tabs>
          <w:tab w:val="left" w:pos="708"/>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El  presente</w:t>
      </w:r>
      <w:proofErr w:type="gramEnd"/>
      <w:r>
        <w:rPr>
          <w:rFonts w:ascii="Times New Roman" w:hAnsi="Times New Roman" w:cs="Times New Roman"/>
          <w:sz w:val="24"/>
          <w:szCs w:val="24"/>
        </w:rPr>
        <w:t xml:space="preserve"> estudio utilizó el método dialéctico materialista como base general, permitiendo analizar el fenómeno en su totalidad y contexto, considerando contradicciones, cambios y dinámicas. Se combinaron métodos teóricos, empíricos y estadísticos descriptivos, destacando el análisis documental para acercarse a los referentes teóricos sobre superación profesional docente y sus vínculos causales, así como los métodos de análisis y síntesis para identificar regularidades que sustentan una estrategia de superación profesional para docentes del nivel primario, orientada al desarrollo de habilidades de preparación para la vida en alumnos con discapacidad auditiva. La modelación sistémica estructural funcional fue empleada para estructurar la estrategia, mientras que la encuesta y el inventario de problemas docentes permitieron constatar conocimientos, insuficiencias y potencialidades de los docentes que trabajan con estos estudiantes.</w:t>
      </w:r>
    </w:p>
    <w:p w14:paraId="7A1557DB" w14:textId="77777777" w:rsidR="00D71519" w:rsidRDefault="00000000">
      <w:pPr>
        <w:tabs>
          <w:tab w:val="left" w:pos="70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se realizaron talleres de opinión crítica y construcción colectiva para valorar teóricamente la estrategia propuesta. Para comprobar su valor práctico, se implementó un </w:t>
      </w:r>
      <w:proofErr w:type="spellStart"/>
      <w:r>
        <w:rPr>
          <w:rFonts w:ascii="Times New Roman" w:hAnsi="Times New Roman" w:cs="Times New Roman"/>
          <w:sz w:val="24"/>
          <w:szCs w:val="24"/>
        </w:rPr>
        <w:t>pre-</w:t>
      </w:r>
      <w:r>
        <w:rPr>
          <w:rFonts w:ascii="Times New Roman" w:hAnsi="Times New Roman" w:cs="Times New Roman"/>
          <w:sz w:val="24"/>
          <w:szCs w:val="24"/>
        </w:rPr>
        <w:lastRenderedPageBreak/>
        <w:t>experimento</w:t>
      </w:r>
      <w:proofErr w:type="spellEnd"/>
      <w:r>
        <w:rPr>
          <w:rFonts w:ascii="Times New Roman" w:hAnsi="Times New Roman" w:cs="Times New Roman"/>
          <w:sz w:val="24"/>
          <w:szCs w:val="24"/>
        </w:rPr>
        <w:t xml:space="preserve">, utilizando métodos estadísticos como la </w:t>
      </w:r>
      <w:proofErr w:type="spellStart"/>
      <w:r>
        <w:rPr>
          <w:rFonts w:ascii="Times New Roman" w:hAnsi="Times New Roman" w:cs="Times New Roman"/>
          <w:sz w:val="24"/>
          <w:szCs w:val="24"/>
        </w:rPr>
        <w:t>Dócima</w:t>
      </w:r>
      <w:proofErr w:type="spellEnd"/>
      <w:r>
        <w:rPr>
          <w:rFonts w:ascii="Times New Roman" w:hAnsi="Times New Roman" w:cs="Times New Roman"/>
          <w:sz w:val="24"/>
          <w:szCs w:val="24"/>
        </w:rPr>
        <w:t xml:space="preserve"> de Kolmogórov-Smirnov, cálculo porcentual y media aritmética, con el apoyo del software SPSS versión 20.0, con el fin de evidenciar cambios significativos en los resultados obtenidos y validar la efectividad de la estrategia en la formación y desarrollo de habilidades de preparación para la vida en alumnos con discapacidad auditiva.</w:t>
      </w:r>
    </w:p>
    <w:p w14:paraId="1FD86199" w14:textId="77777777" w:rsidR="00D71519" w:rsidRDefault="00000000">
      <w:pPr>
        <w:pStyle w:val="Ttulo1"/>
        <w:tabs>
          <w:tab w:val="left" w:pos="708"/>
        </w:tabs>
        <w:spacing w:line="360" w:lineRule="auto"/>
        <w:rPr>
          <w:rFonts w:ascii="Times New Roman" w:hAnsi="Times New Roman" w:cs="Times New Roman"/>
          <w:sz w:val="24"/>
          <w:szCs w:val="24"/>
        </w:rPr>
      </w:pPr>
      <w:r>
        <w:rPr>
          <w:rFonts w:ascii="Times New Roman" w:hAnsi="Times New Roman" w:cs="Times New Roman"/>
          <w:sz w:val="24"/>
          <w:szCs w:val="24"/>
        </w:rPr>
        <w:t xml:space="preserve">RESULTADOS-DISCUSIÓN </w:t>
      </w:r>
    </w:p>
    <w:p w14:paraId="4B24F9EE"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t>El diagnóstico inicial sobre la superación profesional del docente del nivel primario para la formación y desarrollo de habilidades de preparación para la vida en alumnos con discapacidad auditiva se enfocó en las dimensiones cognitiva, instrumental y actitudinal, evaluando los conocimientos, desempeño y disposición de los docentes (Flores &amp; García, 2020). La muestra estuvo conformada por 10 docentes de centros educativos inclusivos y aulas específicas en Barahona, Bani y Azua, República Dominicana, seleccionados por criterios de experiencia, formación universitaria y trabajo con alumnos con discapacidad auditiva. Los resultados revelaron carencias formativas significativas, evidenciando que la mayoría de los docentes no había recibido preparación específica en habilidades de preparación para la vida ni en estrategias inclusivas, lo que afectaba su desempeño profesional y la atención efectiva de los alumnos (Ministerio de Educación, 2019).</w:t>
      </w:r>
    </w:p>
    <w:p w14:paraId="64950703" w14:textId="77777777" w:rsidR="00D71519" w:rsidRDefault="00D71519">
      <w:pPr>
        <w:tabs>
          <w:tab w:val="left" w:pos="708"/>
        </w:tabs>
        <w:spacing w:after="0" w:line="360" w:lineRule="auto"/>
        <w:ind w:right="51"/>
        <w:jc w:val="both"/>
        <w:rPr>
          <w:rFonts w:ascii="Times New Roman" w:hAnsi="Times New Roman" w:cs="Times New Roman"/>
          <w:sz w:val="24"/>
          <w:szCs w:val="24"/>
        </w:rPr>
      </w:pPr>
    </w:p>
    <w:p w14:paraId="443AD8FA"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t>En la dimensión cognitiva, los resultados mostraron un desconocimiento generalizado sobre las habilidades de preparación para la vida, la discapacidad auditiva y la inclusión socioeducativa y laboral. Solo un docente obtuvo evaluación “regular” en conocimiento de habilidades para la vida, mientras que el 90% restante fue evaluado como “mal” (Flores &amp; García, 2020). Respecto al conocimiento sobre discapacidad auditiva, el 50% obtuvo evaluación “bien”, el 20% “regular” y el 30% “mal”, mientras que, sobre inclusión socioeducativa y laboral, solo un docente alcanzó “bien”, dos fueron “regulares” y siete “mal”, evidenciando deficiencias en los conocimientos fundamentales para la atención inclusiva.</w:t>
      </w:r>
    </w:p>
    <w:p w14:paraId="20A2D553"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lastRenderedPageBreak/>
        <w:t>En la dimensión instrumental, vinculada con la planificación y ejecución del trabajo a favor del desarrollo de habilidades para la vida, los resultados fueron igualmente preocupantes. El 90% de los docentes mostró desempeño profesional deficiente en la planificación y ejecución de acciones para fomentar estas habilidades, mientras que solo un docente obtuvo evaluación “regular” (Flores &amp; García, 2020). Esto demuestra que los escasos conocimientos teóricos se traducen en dificultades prácticas para implementar estrategias efectivas en el aula.</w:t>
      </w:r>
    </w:p>
    <w:p w14:paraId="21DE9736"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t>Por su parte, la dimensión actitudinal reflejó un interés moderado de los docentes en buscar información y mejorar la formación profesional. En cuanto a la búsqueda de información sobre habilidades para la vida, el 90% de los docentes fue evaluado como “regular” y solo un docente como “bien”; en la disposición para transformar la enseñanza hacia la inclusión socioeducativa y laboral, el 30% mostró disposición adecuada y el 70% evaluación “regular” (Flores &amp; García, 2020). Este hallazgo indica que, aunque existe cierto interés por mejorar, aún persisten limitaciones significativas en la motivación y compromiso hacia la formación profesional continua.</w:t>
      </w:r>
    </w:p>
    <w:p w14:paraId="735BC616"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t>En términos generales, el análisis integral de los resultados evidencia insuficiencias en la superación profesional de los docentes del nivel primario en relación con la formación y desarrollo de habilidades de preparación para la vida en alumnos con discapacidad auditiva. Los aspectos poco logrados incluyen el interés limitado en la búsqueda de información sobre estrategias pedagógicas inclusivas, mientras que los aspectos no logrados comprenden escasos conocimientos sobre habilidades para la vida, discapacidad auditiva e inclusión, así como un desempeño profesional ineficaz en la planificación y ejecución de actividades educativas orientadas al desarrollo integral de los alumnos (Ministerio de Educación, 2019; Flores &amp; García, 2020).</w:t>
      </w:r>
    </w:p>
    <w:p w14:paraId="22CB212C" w14:textId="77777777" w:rsidR="00D71519" w:rsidRDefault="00000000">
      <w:pPr>
        <w:tabs>
          <w:tab w:val="left" w:pos="708"/>
        </w:tabs>
        <w:spacing w:after="0" w:line="36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Estos hallazgos subrayan la necesidad urgente de implementar estrategias de superación profesional que fortalezcan los conocimientos, competencias y actitudes de los docentes, permitiéndoles diseñar intervenciones efectivas y contextualizadas que promuevan la autonomía, participación social y preparación integral de los alumnos con discapacidad auditiva (Pérez &amp; </w:t>
      </w:r>
      <w:proofErr w:type="spellStart"/>
      <w:r>
        <w:rPr>
          <w:rFonts w:ascii="Times New Roman" w:hAnsi="Times New Roman" w:cs="Times New Roman"/>
          <w:sz w:val="24"/>
          <w:szCs w:val="24"/>
        </w:rPr>
        <w:t>Filella</w:t>
      </w:r>
      <w:proofErr w:type="spellEnd"/>
      <w:r>
        <w:rPr>
          <w:rFonts w:ascii="Times New Roman" w:hAnsi="Times New Roman" w:cs="Times New Roman"/>
          <w:sz w:val="24"/>
          <w:szCs w:val="24"/>
        </w:rPr>
        <w:t xml:space="preserve">, 2019; Montero &amp; Gómez, 2021). La evidencia confirma que la actualización constante, el </w:t>
      </w:r>
      <w:r>
        <w:rPr>
          <w:rFonts w:ascii="Times New Roman" w:hAnsi="Times New Roman" w:cs="Times New Roman"/>
          <w:sz w:val="24"/>
          <w:szCs w:val="24"/>
        </w:rPr>
        <w:lastRenderedPageBreak/>
        <w:t>acompañamiento pedagógico y el desarrollo de habilidades prácticas son fundamentales para garantizar una educación inclusiva, equitativa y de calidad.</w:t>
      </w:r>
    </w:p>
    <w:p w14:paraId="65C44D1B" w14:textId="77777777" w:rsidR="00D71519" w:rsidRDefault="00000000">
      <w:pPr>
        <w:tabs>
          <w:tab w:val="left" w:pos="708"/>
        </w:tabs>
        <w:spacing w:after="0" w:line="360" w:lineRule="auto"/>
        <w:ind w:right="51"/>
        <w:jc w:val="both"/>
        <w:rPr>
          <w:rFonts w:ascii="Times New Roman" w:hAnsi="Times New Roman" w:cs="Times New Roman"/>
          <w:bCs/>
          <w:sz w:val="24"/>
          <w:szCs w:val="24"/>
          <w:lang w:val="es-EC"/>
        </w:rPr>
      </w:pPr>
      <w:r>
        <w:rPr>
          <w:rFonts w:ascii="Times New Roman" w:hAnsi="Times New Roman" w:cs="Times New Roman"/>
          <w:bCs/>
          <w:sz w:val="24"/>
          <w:szCs w:val="24"/>
        </w:rPr>
        <w:t xml:space="preserve">Estructura y contenido de la estrategia para la </w:t>
      </w:r>
      <w:r>
        <w:rPr>
          <w:rFonts w:ascii="Times New Roman" w:hAnsi="Times New Roman" w:cs="Times New Roman"/>
          <w:bCs/>
          <w:sz w:val="24"/>
          <w:szCs w:val="24"/>
          <w:lang w:val="es-EC"/>
        </w:rPr>
        <w:t xml:space="preserve">superación </w:t>
      </w:r>
      <w:r>
        <w:rPr>
          <w:rFonts w:ascii="Times New Roman" w:hAnsi="Times New Roman" w:cs="Times New Roman"/>
          <w:bCs/>
          <w:sz w:val="24"/>
          <w:szCs w:val="24"/>
        </w:rPr>
        <w:t>profesional del docente del nivel primario</w:t>
      </w:r>
      <w:r>
        <w:rPr>
          <w:rFonts w:ascii="Times New Roman" w:hAnsi="Times New Roman" w:cs="Times New Roman"/>
          <w:bCs/>
          <w:sz w:val="24"/>
          <w:szCs w:val="24"/>
          <w:lang w:val="es-EC"/>
        </w:rPr>
        <w:t xml:space="preserve"> para la formación y desarrollo de habilidades de preparación para la vida en alumnos con discapacidad auditiva del segundo ciclo del nivel primario.</w:t>
      </w:r>
    </w:p>
    <w:p w14:paraId="36CEE086"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Diseñar una estrategia constituye una respuesta sistemática a un problema identificado, orientada a generar mejoras, innovación y efectividad en los procesos de enseñanza-aprendizaje, cuando los métodos anteriores han sido insuficientes (Sierra, 2020, p.5). En este sentido, la estrategia propuesta para la superación profesional del docente del nivel primario tiene como propósito fundamental fortalecer sus competencias para la formación y desarrollo de habilidades de preparación para la vida en alumnos con discapacidad auditiva, considerando las necesidades educativas y las características específicas de este grupo de estudiantes.</w:t>
      </w:r>
    </w:p>
    <w:p w14:paraId="398834BE"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Los referentes teóricos que sustentan la estrategia incluyen las contribuciones de Gómez (2019), González (2020), Montero (2021), Rodríguez (2024), Serrano (2016) y Taro (2019), quienes coinciden en que la superación profesional requiere un enfoque integral que integre objetivos a corto, mediano y largo plazo, priorizando la mejora del desempeño docente y la implementación de prácticas efectivas para favorecer el aprendizaje de los alumnos. La estrategia se concibe no solo como un conjunto de acciones pedagógicas, sino como un proceso de transformación integral que vincula teoría y práctica, promoviendo cambios actitudinales, cognitivos y procedimentales en los docentes.</w:t>
      </w:r>
    </w:p>
    <w:p w14:paraId="395C427A" w14:textId="77777777" w:rsidR="00D71519" w:rsidRDefault="00000000">
      <w:pPr>
        <w:tabs>
          <w:tab w:val="left" w:pos="708"/>
        </w:tabs>
        <w:spacing w:after="0" w:line="360" w:lineRule="auto"/>
        <w:ind w:right="51"/>
        <w:jc w:val="both"/>
        <w:rPr>
          <w:rFonts w:ascii="Times New Roman" w:hAnsi="Times New Roman" w:cs="Times New Roman"/>
          <w:b/>
          <w:bCs/>
          <w:sz w:val="24"/>
          <w:szCs w:val="24"/>
          <w:lang w:val="es-DO"/>
        </w:rPr>
      </w:pPr>
      <w:r>
        <w:rPr>
          <w:rFonts w:ascii="Times New Roman" w:hAnsi="Times New Roman" w:cs="Times New Roman"/>
          <w:b/>
          <w:bCs/>
          <w:sz w:val="24"/>
          <w:szCs w:val="24"/>
          <w:lang w:val="es-DO"/>
        </w:rPr>
        <w:t>Principios y rasgos distintivos de la estrategia</w:t>
      </w:r>
    </w:p>
    <w:p w14:paraId="236F19EA"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La estrategia se fundamenta en principios que garantizan su pertinencia y efectividad:</w:t>
      </w:r>
    </w:p>
    <w:p w14:paraId="7841E671"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Flexibilidad:</w:t>
      </w:r>
      <w:r>
        <w:rPr>
          <w:rFonts w:ascii="Times New Roman" w:hAnsi="Times New Roman" w:cs="Times New Roman"/>
          <w:sz w:val="24"/>
          <w:szCs w:val="24"/>
          <w:lang w:val="es-DO"/>
        </w:rPr>
        <w:t xml:space="preserve"> Se adapta a las necesidades individuales de docentes y alumnos, permitiendo la planificación y ejecución personalizada de actividades, atendiendo a diferencias cognitivas, afectivas y contextuales. Esta flexibilidad asegura que cada docente pueda recibir la orientación y recursos que requiere para mejorar su desempeño.</w:t>
      </w:r>
    </w:p>
    <w:p w14:paraId="13328559"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lastRenderedPageBreak/>
        <w:t>Objetividad:</w:t>
      </w:r>
      <w:r>
        <w:rPr>
          <w:rFonts w:ascii="Times New Roman" w:hAnsi="Times New Roman" w:cs="Times New Roman"/>
          <w:sz w:val="24"/>
          <w:szCs w:val="24"/>
          <w:lang w:val="es-DO"/>
        </w:rPr>
        <w:t xml:space="preserve"> Responde a problemas reales y a metas concretas, garantizando que los objetivos de la estrategia sean alcanzables y medibles en tiempo y espacio.</w:t>
      </w:r>
    </w:p>
    <w:p w14:paraId="14326A65"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Contextualización:</w:t>
      </w:r>
      <w:r>
        <w:rPr>
          <w:rFonts w:ascii="Times New Roman" w:hAnsi="Times New Roman" w:cs="Times New Roman"/>
          <w:sz w:val="24"/>
          <w:szCs w:val="24"/>
          <w:lang w:val="es-DO"/>
        </w:rPr>
        <w:t xml:space="preserve"> La estrategia se ajusta al entorno en el que se desarrolla la enseñanza, considerando las características del alumnado, el contexto escolar y las condiciones socioculturales, de manera que las intervenciones sean pertinentes y efectivas.</w:t>
      </w:r>
    </w:p>
    <w:p w14:paraId="6D286DF8"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Teórico-metodológica:</w:t>
      </w:r>
      <w:r>
        <w:rPr>
          <w:rFonts w:ascii="Times New Roman" w:hAnsi="Times New Roman" w:cs="Times New Roman"/>
          <w:sz w:val="24"/>
          <w:szCs w:val="24"/>
          <w:lang w:val="es-DO"/>
        </w:rPr>
        <w:t xml:space="preserve"> Cada etapa y componente de la estrategia se articula en función de fundamentos teóricos y metodológicos, proporcionando orientación clara para la práctica profesional y asegurando la coherencia en la planificación, ejecución y evaluación de las actividades.</w:t>
      </w:r>
    </w:p>
    <w:p w14:paraId="430FB5A9"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Diversidad y dinamismo:</w:t>
      </w:r>
      <w:r>
        <w:rPr>
          <w:rFonts w:ascii="Times New Roman" w:hAnsi="Times New Roman" w:cs="Times New Roman"/>
          <w:sz w:val="24"/>
          <w:szCs w:val="24"/>
          <w:lang w:val="es-DO"/>
        </w:rPr>
        <w:t xml:space="preserve"> Reconoce la heterogeneidad de los docentes y alumnos, permitiendo variaciones creativas y adaptaciones que potencien la participación y el aprendizaje significativo.</w:t>
      </w:r>
    </w:p>
    <w:p w14:paraId="4CB8E3E5"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Vivencial e interactiva:</w:t>
      </w:r>
      <w:r>
        <w:rPr>
          <w:rFonts w:ascii="Times New Roman" w:hAnsi="Times New Roman" w:cs="Times New Roman"/>
          <w:sz w:val="24"/>
          <w:szCs w:val="24"/>
          <w:lang w:val="es-DO"/>
        </w:rPr>
        <w:t xml:space="preserve"> Se valoran las experiencias previas de los docentes y alumnos, promoviendo la interacción activa, el aprendizaje cooperativo y la integración de los aspectos afectivos, cognitivos y actitudinales.</w:t>
      </w:r>
    </w:p>
    <w:p w14:paraId="6C0B9750" w14:textId="77777777" w:rsidR="00D71519" w:rsidRDefault="00000000">
      <w:pPr>
        <w:numPr>
          <w:ilvl w:val="0"/>
          <w:numId w:val="1"/>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Actualización profesional:</w:t>
      </w:r>
      <w:r>
        <w:rPr>
          <w:rFonts w:ascii="Times New Roman" w:hAnsi="Times New Roman" w:cs="Times New Roman"/>
          <w:sz w:val="24"/>
          <w:szCs w:val="24"/>
          <w:lang w:val="es-DO"/>
        </w:rPr>
        <w:t xml:space="preserve"> Incluye los avances recientes en formación docente y desarrollo de habilidades para la vida, garantizando que los participantes accedan a conocimientos y herramientas contemporáneas y pertinentes.</w:t>
      </w:r>
    </w:p>
    <w:p w14:paraId="13B8D113" w14:textId="77777777" w:rsidR="00D71519" w:rsidRDefault="00000000">
      <w:pPr>
        <w:tabs>
          <w:tab w:val="left" w:pos="708"/>
        </w:tabs>
        <w:spacing w:after="0" w:line="360" w:lineRule="auto"/>
        <w:ind w:right="51"/>
        <w:jc w:val="both"/>
        <w:rPr>
          <w:rFonts w:ascii="Times New Roman" w:hAnsi="Times New Roman" w:cs="Times New Roman"/>
          <w:b/>
          <w:bCs/>
          <w:sz w:val="24"/>
          <w:szCs w:val="24"/>
          <w:lang w:val="es-DO"/>
        </w:rPr>
      </w:pPr>
      <w:r>
        <w:rPr>
          <w:rFonts w:ascii="Times New Roman" w:hAnsi="Times New Roman" w:cs="Times New Roman"/>
          <w:b/>
          <w:bCs/>
          <w:sz w:val="24"/>
          <w:szCs w:val="24"/>
          <w:lang w:val="es-DO"/>
        </w:rPr>
        <w:t>Etapas de la estrategia</w:t>
      </w:r>
    </w:p>
    <w:p w14:paraId="343986DE"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La estrategia se organiza en cuatro etapas esenciales: diagnóstico, planeación y organización, implementación y evaluación, articuladas de manera dialéctica para garantizar coherencia y progresión en el aprendizaje del docente.</w:t>
      </w:r>
    </w:p>
    <w:p w14:paraId="1DF7B8A2"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Primera etapa: Diagnóstico de necesidades de superación profesional</w:t>
      </w:r>
    </w:p>
    <w:p w14:paraId="4372EB5A" w14:textId="77777777" w:rsidR="00D71519" w:rsidRDefault="00000000">
      <w:pPr>
        <w:numPr>
          <w:ilvl w:val="0"/>
          <w:numId w:val="2"/>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Objetivo:</w:t>
      </w:r>
      <w:r>
        <w:rPr>
          <w:rFonts w:ascii="Times New Roman" w:hAnsi="Times New Roman" w:cs="Times New Roman"/>
          <w:sz w:val="24"/>
          <w:szCs w:val="24"/>
          <w:lang w:val="es-DO"/>
        </w:rPr>
        <w:t xml:space="preserve"> Caracterizar el estado inicial y perspectivo del docente en relación con su capacidad para formar y desarrollar habilidades de preparación para la vida en alumnos con discapacidad auditiva.</w:t>
      </w:r>
    </w:p>
    <w:p w14:paraId="2ABBC6FF" w14:textId="77777777" w:rsidR="00D71519" w:rsidRDefault="00000000">
      <w:pPr>
        <w:numPr>
          <w:ilvl w:val="0"/>
          <w:numId w:val="2"/>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lastRenderedPageBreak/>
        <w:t>Componente teórico:</w:t>
      </w:r>
      <w:r>
        <w:rPr>
          <w:rFonts w:ascii="Times New Roman" w:hAnsi="Times New Roman" w:cs="Times New Roman"/>
          <w:sz w:val="24"/>
          <w:szCs w:val="24"/>
          <w:lang w:val="es-DO"/>
        </w:rPr>
        <w:t xml:space="preserve"> Identificación de necesidades y potencialidades del docente, promoviendo reflexión grupal e individual, intercambio de experiencias y participación activa. Se garantiza un carácter dialógico que permite que los docentes contribuyan con sus percepciones, experiencias y propuestas para la mejora del proceso de enseñanza-aprendizaje. Se enfatiza la importancia de abordar aspectos como la autoestima, motivación y disposición para el aprendizaje continuo.</w:t>
      </w:r>
    </w:p>
    <w:p w14:paraId="00CDDC50" w14:textId="77777777" w:rsidR="00D71519" w:rsidRDefault="00000000">
      <w:pPr>
        <w:numPr>
          <w:ilvl w:val="0"/>
          <w:numId w:val="2"/>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instrumental:</w:t>
      </w:r>
      <w:r>
        <w:rPr>
          <w:rFonts w:ascii="Times New Roman" w:hAnsi="Times New Roman" w:cs="Times New Roman"/>
          <w:sz w:val="24"/>
          <w:szCs w:val="24"/>
          <w:lang w:val="es-DO"/>
        </w:rPr>
        <w:t xml:space="preserve"> Selección y aplicación de instrumentos diagnósticos dirigidos a docentes y alumnos, análisis valorativo de resultados, identificación de fortalezas y debilidades, y caracterización integral de cada docente para orientar las acciones de superación profesional.</w:t>
      </w:r>
    </w:p>
    <w:p w14:paraId="74899AF6"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Segunda etapa: Planeación y organización</w:t>
      </w:r>
    </w:p>
    <w:p w14:paraId="5E0ACE85" w14:textId="77777777" w:rsidR="00D71519" w:rsidRDefault="00000000">
      <w:pPr>
        <w:numPr>
          <w:ilvl w:val="0"/>
          <w:numId w:val="3"/>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Objetivo:</w:t>
      </w:r>
      <w:r>
        <w:rPr>
          <w:rFonts w:ascii="Times New Roman" w:hAnsi="Times New Roman" w:cs="Times New Roman"/>
          <w:sz w:val="24"/>
          <w:szCs w:val="24"/>
          <w:lang w:val="es-DO"/>
        </w:rPr>
        <w:t xml:space="preserve"> Planificar y organizar las actividades de superación profesional, definiendo participantes, objetivos, contenidos, métodos y evaluación.</w:t>
      </w:r>
    </w:p>
    <w:p w14:paraId="5FA1B322" w14:textId="77777777" w:rsidR="00D71519" w:rsidRDefault="00000000">
      <w:pPr>
        <w:numPr>
          <w:ilvl w:val="0"/>
          <w:numId w:val="3"/>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teórico:</w:t>
      </w:r>
      <w:r>
        <w:rPr>
          <w:rFonts w:ascii="Times New Roman" w:hAnsi="Times New Roman" w:cs="Times New Roman"/>
          <w:sz w:val="24"/>
          <w:szCs w:val="24"/>
          <w:lang w:val="es-DO"/>
        </w:rPr>
        <w:t xml:space="preserve"> Proyección de saberes relacionados con habilidades de preparación para la vida, incluyendo autoconocimiento, empatía, comunicación asertiva, manejo de emociones y estrés, toma de decisiones, pensamiento crítico, creatividad, solución de problemas y trabajo en equipo. Cada saber se contextualiza con ejemplos prácticos para favorecer su integración en la práctica docente cotidiana.</w:t>
      </w:r>
    </w:p>
    <w:p w14:paraId="596211FE" w14:textId="77777777" w:rsidR="00D71519" w:rsidRDefault="00000000">
      <w:pPr>
        <w:numPr>
          <w:ilvl w:val="0"/>
          <w:numId w:val="3"/>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práctico:</w:t>
      </w:r>
      <w:r>
        <w:rPr>
          <w:rFonts w:ascii="Times New Roman" w:hAnsi="Times New Roman" w:cs="Times New Roman"/>
          <w:sz w:val="24"/>
          <w:szCs w:val="24"/>
          <w:lang w:val="es-DO"/>
        </w:rPr>
        <w:t xml:space="preserve"> Elaboración de actividades individuales y grupales basadas en las necesidades detectadas, organización de sesiones y dinámicas, adecuación a niveles de desarrollo y capacidades de docentes y alumnos, asegurando la relación teoría-práctica.</w:t>
      </w:r>
    </w:p>
    <w:p w14:paraId="225913AB"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Tercera etapa: Implementación de la estrategia</w:t>
      </w:r>
    </w:p>
    <w:p w14:paraId="4E544B28" w14:textId="77777777" w:rsidR="00D71519" w:rsidRDefault="00000000">
      <w:pPr>
        <w:numPr>
          <w:ilvl w:val="0"/>
          <w:numId w:val="4"/>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Objetivo:</w:t>
      </w:r>
      <w:r>
        <w:rPr>
          <w:rFonts w:ascii="Times New Roman" w:hAnsi="Times New Roman" w:cs="Times New Roman"/>
          <w:sz w:val="24"/>
          <w:szCs w:val="24"/>
          <w:lang w:val="es-DO"/>
        </w:rPr>
        <w:t xml:space="preserve"> Ejecutar las sesiones y dinámicas planificadas, promoviendo la aplicación práctica de los conocimientos y habilidades adquiridas por los docentes.</w:t>
      </w:r>
    </w:p>
    <w:p w14:paraId="12D414AD" w14:textId="77777777" w:rsidR="00D71519" w:rsidRDefault="00000000">
      <w:pPr>
        <w:numPr>
          <w:ilvl w:val="0"/>
          <w:numId w:val="4"/>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teórico:</w:t>
      </w:r>
      <w:r>
        <w:rPr>
          <w:rFonts w:ascii="Times New Roman" w:hAnsi="Times New Roman" w:cs="Times New Roman"/>
          <w:sz w:val="24"/>
          <w:szCs w:val="24"/>
          <w:lang w:val="es-DO"/>
        </w:rPr>
        <w:t xml:space="preserve"> Sistematización de acciones para consolidar actitudes, estimular intereses y fortalecer motivación hacia el aprendizaje. Se incluyen orientaciones sobre </w:t>
      </w:r>
      <w:r>
        <w:rPr>
          <w:rFonts w:ascii="Times New Roman" w:hAnsi="Times New Roman" w:cs="Times New Roman"/>
          <w:sz w:val="24"/>
          <w:szCs w:val="24"/>
          <w:lang w:val="es-DO"/>
        </w:rPr>
        <w:lastRenderedPageBreak/>
        <w:t>comunicación no verbal, expresión corporal y técnicas de enseñanza activa, que facilitan la interacción efectiva con los alumnos.</w:t>
      </w:r>
    </w:p>
    <w:p w14:paraId="6D29EDD6" w14:textId="77777777" w:rsidR="00D71519" w:rsidRDefault="00000000">
      <w:pPr>
        <w:numPr>
          <w:ilvl w:val="0"/>
          <w:numId w:val="4"/>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instrumental:</w:t>
      </w:r>
      <w:r>
        <w:rPr>
          <w:rFonts w:ascii="Times New Roman" w:hAnsi="Times New Roman" w:cs="Times New Roman"/>
          <w:sz w:val="24"/>
          <w:szCs w:val="24"/>
          <w:lang w:val="es-DO"/>
        </w:rPr>
        <w:t xml:space="preserve"> Organización de talleres metodológicos, atención individualizada, retroalimentación continua y valoración conjunta de resultados, permitiendo ajustar actividades según las necesidades detectadas durante la implementación.</w:t>
      </w:r>
    </w:p>
    <w:p w14:paraId="7C962565"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Cuarta etapa: Evaluación de la estrategia</w:t>
      </w:r>
    </w:p>
    <w:p w14:paraId="2725A13C" w14:textId="77777777" w:rsidR="00D71519" w:rsidRDefault="00000000">
      <w:pPr>
        <w:numPr>
          <w:ilvl w:val="0"/>
          <w:numId w:val="5"/>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Objetivo:</w:t>
      </w:r>
      <w:r>
        <w:rPr>
          <w:rFonts w:ascii="Times New Roman" w:hAnsi="Times New Roman" w:cs="Times New Roman"/>
          <w:sz w:val="24"/>
          <w:szCs w:val="24"/>
          <w:lang w:val="es-DO"/>
        </w:rPr>
        <w:t xml:space="preserve"> Constatar el dominio de conocimientos y habilidades adquiridas por el docente, así como la efectividad de la estrategia en la formación y desarrollo de competencias en los alumnos.</w:t>
      </w:r>
    </w:p>
    <w:p w14:paraId="69A732EA" w14:textId="77777777" w:rsidR="00D71519" w:rsidRDefault="00000000">
      <w:pPr>
        <w:numPr>
          <w:ilvl w:val="0"/>
          <w:numId w:val="5"/>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teórico:</w:t>
      </w:r>
      <w:r>
        <w:rPr>
          <w:rFonts w:ascii="Times New Roman" w:hAnsi="Times New Roman" w:cs="Times New Roman"/>
          <w:sz w:val="24"/>
          <w:szCs w:val="24"/>
          <w:lang w:val="es-DO"/>
        </w:rPr>
        <w:t xml:space="preserve"> Reflexión y autorreflexión sobre la práctica docente, valorando la efectividad de las acciones implementadas. Se evalúa la planificación, ejecución, relación con los alumnos y resultados alcanzados en el desarrollo de habilidades para la vida.</w:t>
      </w:r>
    </w:p>
    <w:p w14:paraId="4E593D15" w14:textId="77777777" w:rsidR="00D71519" w:rsidRDefault="00000000">
      <w:pPr>
        <w:numPr>
          <w:ilvl w:val="0"/>
          <w:numId w:val="5"/>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b/>
          <w:bCs/>
          <w:sz w:val="24"/>
          <w:szCs w:val="24"/>
          <w:lang w:val="es-DO"/>
        </w:rPr>
        <w:t>Componente instrumental:</w:t>
      </w:r>
      <w:r>
        <w:rPr>
          <w:rFonts w:ascii="Times New Roman" w:hAnsi="Times New Roman" w:cs="Times New Roman"/>
          <w:sz w:val="24"/>
          <w:szCs w:val="24"/>
          <w:lang w:val="es-DO"/>
        </w:rPr>
        <w:t xml:space="preserve"> Monitoreo continuo del desempeño, comparación entre plan y resultados, identificación de aciertos y errores, autocorrección, ajustes metodológicos y retroalimentación para la mejora continua.</w:t>
      </w:r>
    </w:p>
    <w:p w14:paraId="5089350E" w14:textId="77777777" w:rsidR="00D71519" w:rsidRDefault="00000000">
      <w:pPr>
        <w:tabs>
          <w:tab w:val="left" w:pos="708"/>
        </w:tabs>
        <w:spacing w:after="0" w:line="360" w:lineRule="auto"/>
        <w:ind w:right="51"/>
        <w:jc w:val="both"/>
        <w:rPr>
          <w:rFonts w:ascii="Times New Roman" w:hAnsi="Times New Roman" w:cs="Times New Roman"/>
          <w:b/>
          <w:bCs/>
          <w:sz w:val="24"/>
          <w:szCs w:val="24"/>
          <w:lang w:val="es-DO"/>
        </w:rPr>
      </w:pPr>
      <w:r>
        <w:rPr>
          <w:rFonts w:ascii="Times New Roman" w:hAnsi="Times New Roman" w:cs="Times New Roman"/>
          <w:b/>
          <w:bCs/>
          <w:sz w:val="24"/>
          <w:szCs w:val="24"/>
          <w:lang w:val="es-DO"/>
        </w:rPr>
        <w:t>Proyección metodológica de la estrategia</w:t>
      </w:r>
    </w:p>
    <w:p w14:paraId="3AC53F8A" w14:textId="77777777" w:rsidR="00D71519" w:rsidRDefault="00000000">
      <w:pPr>
        <w:tabs>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Cada etapa integra un enfoque participativo y centrado en el aprendizaje activo, combinando teoría, práctica y evaluación de manera continua. La estrategia propone:</w:t>
      </w:r>
    </w:p>
    <w:p w14:paraId="3C2368B9" w14:textId="77777777" w:rsidR="00D71519" w:rsidRDefault="00000000">
      <w:pPr>
        <w:numPr>
          <w:ilvl w:val="0"/>
          <w:numId w:val="6"/>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Fomentar el aprendizaje colaborativo y la interacción entre docentes, con espacios de reflexión y construcción colectiva de conocimientos.</w:t>
      </w:r>
    </w:p>
    <w:p w14:paraId="35756802" w14:textId="77777777" w:rsidR="00D71519" w:rsidRDefault="00000000">
      <w:pPr>
        <w:numPr>
          <w:ilvl w:val="0"/>
          <w:numId w:val="6"/>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Garantizar la individualización de las acciones según necesidades y potencialidades de cada docente y alumno.</w:t>
      </w:r>
    </w:p>
    <w:p w14:paraId="7423F6A8" w14:textId="77777777" w:rsidR="00D71519" w:rsidRDefault="00000000">
      <w:pPr>
        <w:numPr>
          <w:ilvl w:val="0"/>
          <w:numId w:val="6"/>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t>Integrar habilidades cognitivas, afectivas y actitudinales en cada sesión, promoviendo el desarrollo integral de competencias.</w:t>
      </w:r>
    </w:p>
    <w:p w14:paraId="22BA7462" w14:textId="77777777" w:rsidR="00D71519" w:rsidRDefault="00000000">
      <w:pPr>
        <w:numPr>
          <w:ilvl w:val="0"/>
          <w:numId w:val="6"/>
        </w:numPr>
        <w:tabs>
          <w:tab w:val="clear" w:pos="720"/>
          <w:tab w:val="left" w:pos="708"/>
        </w:tabs>
        <w:spacing w:after="0" w:line="360" w:lineRule="auto"/>
        <w:ind w:right="51"/>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Establecer mecanismos de seguimiento y evaluación que permitan medir progresos, identificar dificultades y ajustar las intervenciones de manera dinámica y flexible.</w:t>
      </w:r>
    </w:p>
    <w:p w14:paraId="660F9610" w14:textId="77777777" w:rsidR="00D71519" w:rsidRDefault="00000000">
      <w:pPr>
        <w:pStyle w:val="Prrafodelista"/>
        <w:tabs>
          <w:tab w:val="left" w:pos="708"/>
        </w:tabs>
        <w:spacing w:after="0" w:line="360" w:lineRule="auto"/>
        <w:ind w:left="0"/>
        <w:jc w:val="center"/>
        <w:outlineLvl w:val="0"/>
        <w:rPr>
          <w:rFonts w:ascii="Times New Roman" w:hAnsi="Times New Roman" w:cs="Times New Roman"/>
          <w:b/>
          <w:caps/>
          <w:sz w:val="24"/>
          <w:szCs w:val="24"/>
        </w:rPr>
      </w:pPr>
      <w:r>
        <w:rPr>
          <w:rFonts w:ascii="Times New Roman" w:hAnsi="Times New Roman" w:cs="Times New Roman"/>
          <w:b/>
          <w:caps/>
          <w:sz w:val="24"/>
          <w:szCs w:val="24"/>
        </w:rPr>
        <w:t>Conclusiones</w:t>
      </w:r>
    </w:p>
    <w:p w14:paraId="7EFCC212" w14:textId="77777777" w:rsidR="00D71519" w:rsidRDefault="00000000">
      <w:pPr>
        <w:shd w:val="clear" w:color="auto" w:fill="FFFFFF"/>
        <w:tabs>
          <w:tab w:val="left" w:pos="708"/>
        </w:tabs>
        <w:spacing w:after="0" w:line="360" w:lineRule="auto"/>
        <w:jc w:val="both"/>
        <w:rPr>
          <w:rFonts w:ascii="Times New Roman" w:eastAsia="Times New Roman" w:hAnsi="Times New Roman" w:cs="Times New Roman"/>
          <w:bCs/>
          <w:color w:val="000000"/>
          <w:sz w:val="24"/>
          <w:szCs w:val="24"/>
          <w:lang w:eastAsia="es-DO"/>
        </w:rPr>
      </w:pPr>
      <w:r>
        <w:rPr>
          <w:rFonts w:ascii="Times New Roman" w:eastAsia="Times New Roman" w:hAnsi="Times New Roman" w:cs="Times New Roman"/>
          <w:bCs/>
          <w:color w:val="000000"/>
          <w:sz w:val="24"/>
          <w:szCs w:val="24"/>
          <w:lang w:eastAsia="es-DO"/>
        </w:rPr>
        <w:t>La implementación de estrategias de superación profesional para docentes del nivel primario resulta esencial para fortalecer la educación inclusiva, particularmente en la formación y desarrollo de habilidades de preparación para la vida en alumnos con discapacidad auditiva. La capacitación continua y especializada permite a los docentes mejorar sus competencias en comunicación, adaptación curricular y diseño de ambientes de aprendizaje inclusivos, favoreciendo la autonomía, participación activa e integración social de estos estudiantes, elementos fundamentales para su desarrollo integral y preparación para la vida. La incorporación de enfoques teóricos y prácticos, junto con el uso de tecnologías de apoyo y técnicas de comunicación aumentativa y alternativa, asegura la aplicación de metodologías pedagógicas efectivas y adaptadas a las necesidades específicas de los alumnos.</w:t>
      </w:r>
    </w:p>
    <w:p w14:paraId="41AE19B6" w14:textId="77777777" w:rsidR="00D71519" w:rsidRDefault="00D71519">
      <w:pPr>
        <w:shd w:val="clear" w:color="auto" w:fill="FFFFFF"/>
        <w:tabs>
          <w:tab w:val="left" w:pos="708"/>
        </w:tabs>
        <w:spacing w:after="0" w:line="360" w:lineRule="auto"/>
        <w:jc w:val="both"/>
        <w:rPr>
          <w:rFonts w:ascii="Times New Roman" w:eastAsia="Times New Roman" w:hAnsi="Times New Roman" w:cs="Times New Roman"/>
          <w:bCs/>
          <w:color w:val="000000"/>
          <w:sz w:val="24"/>
          <w:szCs w:val="24"/>
          <w:lang w:eastAsia="es-DO"/>
        </w:rPr>
      </w:pPr>
    </w:p>
    <w:p w14:paraId="4F1D279E" w14:textId="77777777" w:rsidR="00D71519" w:rsidRDefault="00000000">
      <w:pPr>
        <w:shd w:val="clear" w:color="auto" w:fill="FFFFFF"/>
        <w:tabs>
          <w:tab w:val="left" w:pos="708"/>
        </w:tabs>
        <w:spacing w:after="0" w:line="360" w:lineRule="auto"/>
        <w:jc w:val="both"/>
        <w:rPr>
          <w:rFonts w:ascii="Times New Roman" w:eastAsia="Calibri" w:hAnsi="Times New Roman" w:cs="Times New Roman"/>
          <w:sz w:val="24"/>
          <w:szCs w:val="24"/>
          <w:lang w:val="es-MX"/>
        </w:rPr>
      </w:pPr>
      <w:r>
        <w:rPr>
          <w:rFonts w:ascii="Times New Roman" w:eastAsia="Times New Roman" w:hAnsi="Times New Roman" w:cs="Times New Roman"/>
          <w:bCs/>
          <w:color w:val="000000"/>
          <w:sz w:val="24"/>
          <w:szCs w:val="24"/>
          <w:lang w:eastAsia="es-DO"/>
        </w:rPr>
        <w:t>Asimismo, la formación continua impacta directamente en la calidad educativa, promoviendo la capacidad del docente para responder a las demandas de los estudiantes con discapacidad auditiva y garantizar su desarrollo integral. La adopción de una estrategia integral de superación profesional, que contemple formación, acompañamiento y evaluación constante, permite a los docentes ajustar su práctica pedagógica a los cambios y necesidades del contexto educativo. Esto refuerza el compromiso del sistema educativo con la inclusión, la igualdad de oportunidades y la preparación de los estudiantes para enfrentar los desafíos de la vida cotidiana, consolidando la efectividad de la educación inclusiva.</w:t>
      </w:r>
    </w:p>
    <w:p w14:paraId="2C85C3B2" w14:textId="77777777" w:rsidR="00916749" w:rsidRDefault="00916749" w:rsidP="00916749">
      <w:pPr>
        <w:widowControl w:val="0"/>
        <w:spacing w:line="360" w:lineRule="auto"/>
        <w:rPr>
          <w:rFonts w:ascii="Times New Roman" w:eastAsia="Calibri" w:hAnsi="Times New Roman" w:cs="Times New Roman"/>
          <w:b/>
          <w:sz w:val="28"/>
          <w:szCs w:val="24"/>
          <w:lang w:val="es-MX"/>
        </w:rPr>
      </w:pPr>
    </w:p>
    <w:p w14:paraId="22B161B4" w14:textId="77777777" w:rsidR="00916749" w:rsidRDefault="00916749" w:rsidP="00916749">
      <w:pPr>
        <w:widowControl w:val="0"/>
        <w:spacing w:line="360" w:lineRule="auto"/>
        <w:rPr>
          <w:rFonts w:ascii="Times New Roman" w:eastAsia="Calibri" w:hAnsi="Times New Roman" w:cs="Times New Roman"/>
          <w:b/>
          <w:sz w:val="28"/>
          <w:szCs w:val="24"/>
          <w:lang w:val="es-MX"/>
        </w:rPr>
      </w:pPr>
    </w:p>
    <w:p w14:paraId="09FDE84C" w14:textId="77777777" w:rsidR="00D71519" w:rsidRDefault="00000000" w:rsidP="00916749">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lastRenderedPageBreak/>
        <w:t>REFERENCIAS BIBLIOGRÁFICAS</w:t>
      </w:r>
    </w:p>
    <w:p w14:paraId="6CC55E09" w14:textId="77777777" w:rsidR="00D71519" w:rsidRDefault="00000000">
      <w:pPr>
        <w:spacing w:after="0" w:line="360" w:lineRule="auto"/>
        <w:ind w:left="567" w:hanging="567"/>
        <w:jc w:val="both"/>
        <w:outlineLvl w:val="0"/>
        <w:rPr>
          <w:rFonts w:ascii="Times New Roman" w:hAnsi="Times New Roman" w:cs="Times New Roman"/>
          <w:sz w:val="24"/>
          <w:szCs w:val="24"/>
        </w:rPr>
      </w:pPr>
      <w:r>
        <w:rPr>
          <w:rFonts w:ascii="Times New Roman" w:hAnsi="Times New Roman" w:cs="Times New Roman"/>
          <w:sz w:val="24"/>
          <w:szCs w:val="24"/>
        </w:rPr>
        <w:t xml:space="preserve">Arévalo, M., Tomás, A. y Mendoza, L. (2018). </w:t>
      </w:r>
      <w:r>
        <w:rPr>
          <w:rFonts w:ascii="Times New Roman" w:hAnsi="Times New Roman" w:cs="Times New Roman"/>
          <w:i/>
          <w:iCs/>
          <w:sz w:val="24"/>
          <w:szCs w:val="24"/>
        </w:rPr>
        <w:t>Habilidades para la vida y su importancia en la salud. Pontificia Universidad Javeriana.</w:t>
      </w:r>
      <w:r>
        <w:rPr>
          <w:rFonts w:ascii="Times New Roman" w:hAnsi="Times New Roman" w:cs="Times New Roman"/>
          <w:sz w:val="24"/>
          <w:szCs w:val="24"/>
        </w:rPr>
        <w:t xml:space="preserve"> Cali, Colombia. Itinerario Educativo.  Año XXVIII,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63, Enero – Junio, p. 61 – 89.</w:t>
      </w:r>
    </w:p>
    <w:p w14:paraId="6AB56279" w14:textId="77777777" w:rsidR="00D71519" w:rsidRDefault="00000000">
      <w:pPr>
        <w:autoSpaceDE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Convención sobre los derechos de las personas con discapacidad.</w:t>
      </w:r>
      <w:r>
        <w:rPr>
          <w:rFonts w:ascii="Times New Roman" w:hAnsi="Times New Roman" w:cs="Times New Roman"/>
          <w:sz w:val="24"/>
          <w:szCs w:val="24"/>
        </w:rPr>
        <w:t xml:space="preserve"> (2020). </w:t>
      </w:r>
      <w:r>
        <w:fldChar w:fldCharType="begin"/>
      </w:r>
      <w:r>
        <w:instrText xml:space="preserve"> HYPERLINK "https://www.un.org/esa/socdev/enable/documents/tccconvs.pdf" </w:instrText>
      </w:r>
      <w:r>
        <w:fldChar w:fldCharType="separate"/>
      </w:r>
      <w:r>
        <w:rPr>
          <w:rStyle w:val="Hipervnculo"/>
          <w:rFonts w:ascii="Times New Roman" w:hAnsi="Times New Roman" w:cs="Times New Roman"/>
          <w:sz w:val="24"/>
          <w:szCs w:val="24"/>
        </w:rPr>
        <w:t>https://www.un.org/esa/socdev/enable/documents/tccconvs.pdf</w:t>
      </w:r>
      <w:r>
        <w:rPr>
          <w:rStyle w:val="Hipervnculo"/>
          <w:rFonts w:ascii="Times New Roman" w:hAnsi="Times New Roman" w:cs="Times New Roman"/>
          <w:sz w:val="24"/>
          <w:szCs w:val="24"/>
        </w:rPr>
        <w:fldChar w:fldCharType="end"/>
      </w:r>
    </w:p>
    <w:p w14:paraId="4B8FA8AD" w14:textId="77777777" w:rsidR="00D71519" w:rsidRDefault="00000000">
      <w:pPr>
        <w:pStyle w:val="NormalWeb"/>
        <w:shd w:val="clear" w:color="auto" w:fill="FFFFFF"/>
        <w:spacing w:before="0" w:beforeAutospacing="0" w:after="0" w:afterAutospacing="0" w:line="360" w:lineRule="auto"/>
        <w:ind w:left="567" w:hanging="567"/>
        <w:jc w:val="both"/>
        <w:rPr>
          <w:color w:val="000000"/>
          <w:lang w:val="es-DO"/>
        </w:rPr>
      </w:pPr>
      <w:r>
        <w:rPr>
          <w:color w:val="000000"/>
          <w:lang w:val="es-DO"/>
        </w:rPr>
        <w:t>Flores, M. y García, L. (2020). </w:t>
      </w:r>
      <w:r>
        <w:rPr>
          <w:rStyle w:val="nfasis"/>
          <w:color w:val="000000"/>
          <w:lang w:val="es-DO"/>
        </w:rPr>
        <w:t>Formación docente para la inclusión: estrategias y desafíos</w:t>
      </w:r>
      <w:r>
        <w:rPr>
          <w:color w:val="000000"/>
          <w:lang w:val="es-DO"/>
        </w:rPr>
        <w:t>. Revista de Educación Inclusiva, 15(2), 45-60.</w:t>
      </w:r>
    </w:p>
    <w:p w14:paraId="6146E430" w14:textId="77777777" w:rsidR="00D71519" w:rsidRDefault="00000000">
      <w:pPr>
        <w:shd w:val="clear" w:color="auto" w:fill="FFFFFF"/>
        <w:spacing w:after="0" w:line="360" w:lineRule="auto"/>
        <w:ind w:left="567" w:hanging="567"/>
        <w:jc w:val="both"/>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García, L. y López, M. (2018). Formación docente para la inclusión educativa. </w:t>
      </w:r>
      <w:r>
        <w:rPr>
          <w:rFonts w:ascii="Times New Roman" w:eastAsia="Times New Roman" w:hAnsi="Times New Roman" w:cs="Times New Roman"/>
          <w:iCs/>
          <w:color w:val="000000"/>
          <w:sz w:val="24"/>
          <w:szCs w:val="24"/>
          <w:lang w:eastAsia="es-DO"/>
        </w:rPr>
        <w:t>Revista de Educación Inclusiva</w:t>
      </w:r>
      <w:r>
        <w:rPr>
          <w:rFonts w:ascii="Times New Roman" w:eastAsia="Times New Roman" w:hAnsi="Times New Roman" w:cs="Times New Roman"/>
          <w:color w:val="000000"/>
          <w:sz w:val="24"/>
          <w:szCs w:val="24"/>
          <w:lang w:eastAsia="es-DO"/>
        </w:rPr>
        <w:t>, 12(3), 45-60.</w:t>
      </w:r>
    </w:p>
    <w:p w14:paraId="77AD027D" w14:textId="77777777" w:rsidR="00D71519" w:rsidRDefault="00000000">
      <w:pPr>
        <w:shd w:val="clear" w:color="auto" w:fill="FFFFFF"/>
        <w:spacing w:after="0" w:line="360" w:lineRule="auto"/>
        <w:ind w:left="567" w:hanging="567"/>
        <w:jc w:val="both"/>
        <w:rPr>
          <w:rFonts w:ascii="Times New Roman" w:eastAsia="Calibri" w:hAnsi="Times New Roman" w:cs="Times New Roman"/>
          <w:sz w:val="24"/>
          <w:szCs w:val="24"/>
        </w:rPr>
      </w:pPr>
      <w:r>
        <w:rPr>
          <w:rFonts w:ascii="Times New Roman" w:hAnsi="Times New Roman" w:cs="Times New Roman"/>
          <w:sz w:val="24"/>
          <w:szCs w:val="24"/>
        </w:rPr>
        <w:t xml:space="preserve">Gómez, E. (2019). </w:t>
      </w:r>
      <w:r>
        <w:rPr>
          <w:rFonts w:ascii="Times New Roman" w:hAnsi="Times New Roman" w:cs="Times New Roman"/>
          <w:i/>
          <w:iCs/>
          <w:sz w:val="24"/>
          <w:szCs w:val="24"/>
        </w:rPr>
        <w:t>L</w:t>
      </w:r>
      <w:r>
        <w:rPr>
          <w:rFonts w:ascii="Times New Roman" w:hAnsi="Times New Roman" w:cs="Times New Roman"/>
          <w:bCs/>
          <w:i/>
          <w:iCs/>
          <w:sz w:val="24"/>
          <w:szCs w:val="24"/>
        </w:rPr>
        <w:t xml:space="preserve">a superación profesional de los trabajadores sociales del Centro de Diagnóstico y Orientación dirigida a la </w:t>
      </w:r>
      <w:r>
        <w:rPr>
          <w:rFonts w:ascii="Times New Roman" w:hAnsi="Times New Roman" w:cs="Times New Roman"/>
          <w:i/>
          <w:iCs/>
          <w:sz w:val="24"/>
          <w:szCs w:val="24"/>
        </w:rPr>
        <w:t>orientación a las</w:t>
      </w:r>
      <w:r>
        <w:rPr>
          <w:rFonts w:ascii="Times New Roman" w:hAnsi="Times New Roman" w:cs="Times New Roman"/>
          <w:bCs/>
          <w:i/>
          <w:iCs/>
          <w:sz w:val="24"/>
          <w:szCs w:val="24"/>
        </w:rPr>
        <w:t xml:space="preserve"> familias de educandos con disfasia</w:t>
      </w:r>
      <w:r>
        <w:rPr>
          <w:rFonts w:ascii="Times New Roman" w:hAnsi="Times New Roman" w:cs="Times New Roman"/>
          <w:bCs/>
          <w:sz w:val="24"/>
          <w:szCs w:val="24"/>
        </w:rPr>
        <w:t xml:space="preserve">. </w:t>
      </w:r>
      <w:r>
        <w:rPr>
          <w:rFonts w:ascii="Times New Roman" w:hAnsi="Times New Roman" w:cs="Times New Roman"/>
          <w:sz w:val="24"/>
          <w:szCs w:val="24"/>
        </w:rPr>
        <w:t xml:space="preserve">[Tesis doctoral no publicada].  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43457BAF" w14:textId="77777777" w:rsidR="00D71519"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González, L. (2020. </w:t>
      </w:r>
      <w:r>
        <w:rPr>
          <w:rFonts w:ascii="Times New Roman" w:hAnsi="Times New Roman" w:cs="Times New Roman"/>
          <w:i/>
          <w:iCs/>
          <w:sz w:val="24"/>
          <w:szCs w:val="24"/>
        </w:rPr>
        <w:t xml:space="preserve">La superación profesional de los psicólogos del Centro de Diagnóstico y Orientación dirigida a la atención educativa de educandos con diagnóstico de Trastornos de Hiperactividad y Déficit </w:t>
      </w:r>
      <w:proofErr w:type="spellStart"/>
      <w:r>
        <w:rPr>
          <w:rFonts w:ascii="Times New Roman" w:hAnsi="Times New Roman" w:cs="Times New Roman"/>
          <w:i/>
          <w:iCs/>
          <w:sz w:val="24"/>
          <w:szCs w:val="24"/>
        </w:rPr>
        <w:t>Atentivo</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[Tesis doctoral no publicada]. 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5BA6AF3B" w14:textId="77777777" w:rsidR="00D71519" w:rsidRDefault="00000000">
      <w:pPr>
        <w:shd w:val="clear" w:color="auto" w:fill="FFFFFF"/>
        <w:spacing w:after="0" w:line="360" w:lineRule="auto"/>
        <w:ind w:left="567" w:hanging="567"/>
        <w:jc w:val="both"/>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 xml:space="preserve">Martínez, P. (2020). </w:t>
      </w:r>
      <w:r>
        <w:rPr>
          <w:rFonts w:ascii="Times New Roman" w:eastAsia="Times New Roman" w:hAnsi="Times New Roman" w:cs="Times New Roman"/>
          <w:i/>
          <w:iCs/>
          <w:color w:val="000000"/>
          <w:sz w:val="24"/>
          <w:szCs w:val="24"/>
          <w:lang w:eastAsia="es-DO"/>
        </w:rPr>
        <w:t xml:space="preserve">Tecnologías </w:t>
      </w:r>
      <w:proofErr w:type="spellStart"/>
      <w:r>
        <w:rPr>
          <w:rFonts w:ascii="Times New Roman" w:eastAsia="Times New Roman" w:hAnsi="Times New Roman" w:cs="Times New Roman"/>
          <w:i/>
          <w:iCs/>
          <w:color w:val="000000"/>
          <w:sz w:val="24"/>
          <w:szCs w:val="24"/>
          <w:lang w:eastAsia="es-DO"/>
        </w:rPr>
        <w:t>asistivas</w:t>
      </w:r>
      <w:proofErr w:type="spellEnd"/>
      <w:r>
        <w:rPr>
          <w:rFonts w:ascii="Times New Roman" w:eastAsia="Times New Roman" w:hAnsi="Times New Roman" w:cs="Times New Roman"/>
          <w:i/>
          <w:iCs/>
          <w:color w:val="000000"/>
          <w:sz w:val="24"/>
          <w:szCs w:val="24"/>
          <w:lang w:eastAsia="es-DO"/>
        </w:rPr>
        <w:t xml:space="preserve"> y formación docente en discapacidad auditiva. Revista de Innovación Educativa</w:t>
      </w:r>
      <w:r>
        <w:rPr>
          <w:rFonts w:ascii="Times New Roman" w:eastAsia="Times New Roman" w:hAnsi="Times New Roman" w:cs="Times New Roman"/>
          <w:color w:val="000000"/>
          <w:sz w:val="24"/>
          <w:szCs w:val="24"/>
          <w:lang w:eastAsia="es-DO"/>
        </w:rPr>
        <w:t>, 8(1), 23-35.</w:t>
      </w:r>
    </w:p>
    <w:p w14:paraId="249D4F4A" w14:textId="77777777" w:rsidR="00D71519" w:rsidRDefault="00000000">
      <w:pPr>
        <w:pStyle w:val="NormalWeb"/>
        <w:shd w:val="clear" w:color="auto" w:fill="FFFFFF"/>
        <w:spacing w:before="0" w:beforeAutospacing="0" w:after="0" w:afterAutospacing="0" w:line="360" w:lineRule="auto"/>
        <w:ind w:left="567" w:hanging="567"/>
        <w:jc w:val="both"/>
        <w:rPr>
          <w:color w:val="000000"/>
          <w:lang w:val="es-DO"/>
        </w:rPr>
      </w:pPr>
      <w:r>
        <w:rPr>
          <w:color w:val="000000"/>
          <w:lang w:val="es-DO"/>
        </w:rPr>
        <w:t>Ministerio de Educación. (2019). </w:t>
      </w:r>
      <w:r>
        <w:rPr>
          <w:rStyle w:val="nfasis"/>
          <w:iCs w:val="0"/>
          <w:color w:val="000000"/>
          <w:lang w:val="es-DO"/>
        </w:rPr>
        <w:t>Lineamientos para la atención educativa a estudiantes con discapacidad auditiva</w:t>
      </w:r>
      <w:r>
        <w:rPr>
          <w:i/>
          <w:color w:val="000000"/>
          <w:lang w:val="es-DO"/>
        </w:rPr>
        <w:t xml:space="preserve">. </w:t>
      </w:r>
      <w:r>
        <w:rPr>
          <w:color w:val="000000"/>
          <w:lang w:val="es-DO"/>
        </w:rPr>
        <w:t>Gobierno de República Dominicana.</w:t>
      </w:r>
    </w:p>
    <w:p w14:paraId="41F79017" w14:textId="77777777" w:rsidR="00D71519"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lang w:val="es-DO"/>
        </w:rPr>
        <w:t xml:space="preserve">Montero, D. (2021). </w:t>
      </w:r>
      <w:r>
        <w:rPr>
          <w:rFonts w:ascii="Times New Roman" w:hAnsi="Times New Roman" w:cs="Times New Roman"/>
          <w:i/>
          <w:iCs/>
          <w:color w:val="000000"/>
          <w:sz w:val="24"/>
          <w:szCs w:val="24"/>
          <w:lang w:val="es-DO"/>
        </w:rPr>
        <w:t>L</w:t>
      </w:r>
      <w:r>
        <w:rPr>
          <w:rFonts w:ascii="Times New Roman" w:hAnsi="Times New Roman" w:cs="Times New Roman"/>
          <w:bCs/>
          <w:i/>
          <w:iCs/>
          <w:sz w:val="24"/>
          <w:szCs w:val="24"/>
          <w:lang w:val="es-DO"/>
        </w:rPr>
        <w:t>a superación profesional de los trabajadores sociales de los hogares de niños sin amparo familiar.</w:t>
      </w:r>
      <w:r>
        <w:rPr>
          <w:rFonts w:ascii="Times New Roman" w:hAnsi="Times New Roman" w:cs="Times New Roman"/>
          <w:bCs/>
          <w:sz w:val="24"/>
          <w:szCs w:val="24"/>
          <w:lang w:val="es-DO"/>
        </w:rPr>
        <w:t xml:space="preserve"> </w:t>
      </w:r>
      <w:r>
        <w:rPr>
          <w:rFonts w:ascii="Times New Roman" w:hAnsi="Times New Roman" w:cs="Times New Roman"/>
          <w:sz w:val="24"/>
          <w:szCs w:val="24"/>
        </w:rPr>
        <w:t xml:space="preserve">[Tesis doctoral no publicada]. 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515FA3C3" w14:textId="77777777" w:rsidR="00D71519" w:rsidRDefault="00000000">
      <w:pPr>
        <w:pStyle w:val="Default"/>
        <w:spacing w:line="360" w:lineRule="auto"/>
        <w:ind w:left="567" w:hanging="567"/>
        <w:jc w:val="both"/>
        <w:rPr>
          <w:rFonts w:ascii="Times New Roman" w:hAnsi="Times New Roman" w:cs="Times New Roman"/>
        </w:rPr>
      </w:pPr>
      <w:r>
        <w:rPr>
          <w:rFonts w:ascii="Times New Roman" w:hAnsi="Times New Roman" w:cs="Times New Roman"/>
          <w:iCs/>
        </w:rPr>
        <w:lastRenderedPageBreak/>
        <w:t xml:space="preserve">Montero, D. y Gómez, E. (2021). </w:t>
      </w:r>
      <w:r>
        <w:rPr>
          <w:rFonts w:ascii="Times New Roman" w:hAnsi="Times New Roman" w:cs="Times New Roman"/>
          <w:i/>
          <w:iCs/>
        </w:rPr>
        <w:t>Importancia del desarrollo de habilidades para la vida en los hogares de niños sin amparo familiar.</w:t>
      </w:r>
      <w:r>
        <w:rPr>
          <w:rFonts w:ascii="Times New Roman" w:hAnsi="Times New Roman" w:cs="Times New Roman"/>
        </w:rPr>
        <w:t xml:space="preserve"> Ciencias Pedagógicas. </w:t>
      </w:r>
      <w:r>
        <w:rPr>
          <w:rFonts w:ascii="Times New Roman" w:hAnsi="Times New Roman" w:cs="Times New Roman"/>
          <w:bCs/>
        </w:rPr>
        <w:t xml:space="preserve">Revista Electrónica del Instituto Central de Ciencias </w:t>
      </w:r>
      <w:proofErr w:type="spellStart"/>
      <w:r>
        <w:rPr>
          <w:rFonts w:ascii="Times New Roman" w:hAnsi="Times New Roman" w:cs="Times New Roman"/>
          <w:bCs/>
        </w:rPr>
        <w:t>Pedagógicas.</w:t>
      </w:r>
      <w:r>
        <w:rPr>
          <w:rFonts w:ascii="Times New Roman" w:hAnsi="Times New Roman" w:cs="Times New Roman"/>
        </w:rPr>
        <w:t>No</w:t>
      </w:r>
      <w:proofErr w:type="spellEnd"/>
      <w:r>
        <w:rPr>
          <w:rFonts w:ascii="Times New Roman" w:hAnsi="Times New Roman" w:cs="Times New Roman"/>
        </w:rPr>
        <w:t>. 2 del año 2021 en su Cuarta época de edición, ISSN 1605-5888.</w:t>
      </w:r>
    </w:p>
    <w:p w14:paraId="5D1A4EC6" w14:textId="77777777" w:rsidR="00D71519" w:rsidRDefault="00000000">
      <w:pPr>
        <w:tabs>
          <w:tab w:val="left" w:pos="709"/>
        </w:tabs>
        <w:autoSpaceDE w:val="0"/>
        <w:spacing w:after="0" w:line="360" w:lineRule="auto"/>
        <w:ind w:left="567" w:hanging="567"/>
        <w:jc w:val="both"/>
        <w:rPr>
          <w:rStyle w:val="Hipervnculo"/>
          <w:rFonts w:ascii="Times New Roman" w:hAnsi="Times New Roman" w:cs="Times New Roman"/>
          <w:sz w:val="24"/>
          <w:szCs w:val="24"/>
        </w:rPr>
      </w:pPr>
      <w:r>
        <w:rPr>
          <w:rFonts w:ascii="Times New Roman" w:hAnsi="Times New Roman" w:cs="Times New Roman"/>
          <w:sz w:val="24"/>
          <w:szCs w:val="24"/>
        </w:rPr>
        <w:t xml:space="preserve">OMS. (2017). </w:t>
      </w:r>
      <w:r>
        <w:rPr>
          <w:rFonts w:ascii="Times New Roman" w:hAnsi="Times New Roman" w:cs="Times New Roman"/>
          <w:i/>
          <w:iCs/>
          <w:sz w:val="24"/>
          <w:szCs w:val="24"/>
        </w:rPr>
        <w:t xml:space="preserve">Enfoque de habilidades para la vida para un desarrollo saludable de niños y adolescentes. </w:t>
      </w:r>
      <w:r>
        <w:rPr>
          <w:rFonts w:ascii="Times New Roman" w:hAnsi="Times New Roman" w:cs="Times New Roman"/>
          <w:sz w:val="24"/>
          <w:szCs w:val="24"/>
        </w:rPr>
        <w:t> </w:t>
      </w:r>
      <w:r>
        <w:fldChar w:fldCharType="begin"/>
      </w:r>
      <w:r>
        <w:instrText xml:space="preserve"> HYPERLINK "http://www1.paho.org/hq/dmdocuments/" </w:instrText>
      </w:r>
      <w:r>
        <w:fldChar w:fldCharType="separate"/>
      </w:r>
      <w:r>
        <w:rPr>
          <w:rStyle w:val="Hipervnculo"/>
          <w:rFonts w:ascii="Times New Roman" w:hAnsi="Times New Roman" w:cs="Times New Roman"/>
          <w:sz w:val="24"/>
          <w:szCs w:val="24"/>
        </w:rPr>
        <w:t>http://www1.paho.org/hq/dmdocuments/</w:t>
      </w:r>
      <w:r>
        <w:rPr>
          <w:rStyle w:val="Hipervnculo"/>
          <w:rFonts w:ascii="Times New Roman" w:hAnsi="Times New Roman" w:cs="Times New Roman"/>
          <w:sz w:val="24"/>
          <w:szCs w:val="24"/>
        </w:rPr>
        <w:fldChar w:fldCharType="end"/>
      </w:r>
      <w:r>
        <w:rPr>
          <w:rStyle w:val="Hipervnculo"/>
          <w:rFonts w:ascii="Times New Roman" w:hAnsi="Times New Roman" w:cs="Times New Roman"/>
          <w:sz w:val="24"/>
          <w:szCs w:val="24"/>
        </w:rPr>
        <w:t>.</w:t>
      </w:r>
    </w:p>
    <w:p w14:paraId="554CE116" w14:textId="77777777" w:rsidR="00D71519" w:rsidRDefault="00000000">
      <w:pPr>
        <w:tabs>
          <w:tab w:val="left" w:pos="709"/>
        </w:tabs>
        <w:autoSpaceDE w:val="0"/>
        <w:spacing w:after="0" w:line="360" w:lineRule="auto"/>
        <w:ind w:left="567" w:hanging="567"/>
        <w:jc w:val="both"/>
        <w:rPr>
          <w:rFonts w:ascii="Times New Roman" w:hAnsi="Times New Roman" w:cs="Times New Roman"/>
          <w:sz w:val="24"/>
          <w:szCs w:val="24"/>
          <w:lang w:val="pt-BR"/>
        </w:rPr>
      </w:pPr>
      <w:r>
        <w:rPr>
          <w:rFonts w:ascii="Times New Roman" w:hAnsi="Times New Roman" w:cs="Times New Roman"/>
          <w:sz w:val="24"/>
          <w:szCs w:val="24"/>
        </w:rPr>
        <w:t xml:space="preserve">ONU. (2021). </w:t>
      </w:r>
      <w:r>
        <w:rPr>
          <w:rFonts w:ascii="Times New Roman" w:hAnsi="Times New Roman" w:cs="Times New Roman"/>
          <w:i/>
          <w:iCs/>
          <w:sz w:val="24"/>
          <w:szCs w:val="24"/>
        </w:rPr>
        <w:t>Estudio sobre la situación de personas con discapacidad en base a los datos del SIUBEN 2018.</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Informe final. Santo Domingo 2021. </w:t>
      </w:r>
      <w:r>
        <w:fldChar w:fldCharType="begin"/>
      </w:r>
      <w:r>
        <w:instrText xml:space="preserve"> HYPERLINK "https://dominicanrepublic.un.org/es/152121-estudio-sobre-la-situaci%C3%B3n-de-las-personas-con-discapacidad-en-base-los-datos-del-siuben" </w:instrText>
      </w:r>
      <w:r>
        <w:fldChar w:fldCharType="separate"/>
      </w:r>
      <w:r>
        <w:rPr>
          <w:rStyle w:val="Hipervnculo"/>
          <w:rFonts w:ascii="Times New Roman" w:hAnsi="Times New Roman" w:cs="Times New Roman"/>
          <w:sz w:val="24"/>
          <w:szCs w:val="24"/>
          <w:lang w:val="pt-BR"/>
        </w:rPr>
        <w:t>https://dominicanrepublic.un.org/es/152121-estudio-sobre-la-situaci%C3%B3n-de-las-personas-con-discapacidad-en-base-los-datos-del-siuben</w:t>
      </w:r>
      <w:r>
        <w:rPr>
          <w:rStyle w:val="Hipervnculo"/>
          <w:rFonts w:ascii="Times New Roman" w:hAnsi="Times New Roman" w:cs="Times New Roman"/>
          <w:sz w:val="24"/>
          <w:szCs w:val="24"/>
          <w:lang w:val="pt-BR"/>
        </w:rPr>
        <w:fldChar w:fldCharType="end"/>
      </w:r>
    </w:p>
    <w:p w14:paraId="0163FD0F" w14:textId="77777777" w:rsidR="00D71519" w:rsidRDefault="00000000">
      <w:pPr>
        <w:pStyle w:val="Default"/>
        <w:spacing w:line="360" w:lineRule="auto"/>
        <w:ind w:left="567" w:hanging="567"/>
        <w:jc w:val="both"/>
        <w:rPr>
          <w:rFonts w:ascii="Times New Roman" w:hAnsi="Times New Roman" w:cs="Times New Roman"/>
        </w:rPr>
      </w:pPr>
      <w:r>
        <w:rPr>
          <w:rFonts w:ascii="Times New Roman" w:hAnsi="Times New Roman" w:cs="Times New Roman"/>
        </w:rPr>
        <w:t xml:space="preserve">Pérez, N. y </w:t>
      </w:r>
      <w:proofErr w:type="spellStart"/>
      <w:r>
        <w:rPr>
          <w:rFonts w:ascii="Times New Roman" w:hAnsi="Times New Roman" w:cs="Times New Roman"/>
        </w:rPr>
        <w:t>Filella</w:t>
      </w:r>
      <w:proofErr w:type="spellEnd"/>
      <w:r>
        <w:rPr>
          <w:rFonts w:ascii="Times New Roman" w:hAnsi="Times New Roman" w:cs="Times New Roman"/>
        </w:rPr>
        <w:t xml:space="preserve">, G. (2019). </w:t>
      </w:r>
      <w:r>
        <w:rPr>
          <w:rFonts w:ascii="Times New Roman" w:hAnsi="Times New Roman" w:cs="Times New Roman"/>
          <w:i/>
          <w:iCs/>
        </w:rPr>
        <w:t xml:space="preserve">Educación emocional para el desarrollo de competencias emocionales en niños y adolescentes. </w:t>
      </w:r>
      <w:r>
        <w:rPr>
          <w:rFonts w:ascii="Times New Roman" w:hAnsi="Times New Roman" w:cs="Times New Roman"/>
          <w:iCs/>
        </w:rPr>
        <w:t>Praxis &amp; saber</w:t>
      </w:r>
      <w:r>
        <w:rPr>
          <w:rFonts w:ascii="Times New Roman" w:hAnsi="Times New Roman" w:cs="Times New Roman"/>
        </w:rPr>
        <w:t xml:space="preserve">, </w:t>
      </w:r>
      <w:r>
        <w:rPr>
          <w:rFonts w:ascii="Times New Roman" w:hAnsi="Times New Roman" w:cs="Times New Roman"/>
          <w:iCs/>
        </w:rPr>
        <w:t>10</w:t>
      </w:r>
      <w:r>
        <w:rPr>
          <w:rFonts w:ascii="Times New Roman" w:hAnsi="Times New Roman" w:cs="Times New Roman"/>
        </w:rPr>
        <w:t xml:space="preserve">(24), 23-44. </w:t>
      </w:r>
      <w:r>
        <w:fldChar w:fldCharType="begin"/>
      </w:r>
      <w:r>
        <w:instrText xml:space="preserve"> HYPERLINK "http://www.scielo.org.co/scielo.php" </w:instrText>
      </w:r>
      <w:r>
        <w:fldChar w:fldCharType="separate"/>
      </w:r>
      <w:r>
        <w:rPr>
          <w:rStyle w:val="Hipervnculo"/>
          <w:rFonts w:ascii="Times New Roman" w:hAnsi="Times New Roman" w:cs="Times New Roman"/>
        </w:rPr>
        <w:t>http://www.scielo.org.co/scielo.php</w:t>
      </w:r>
      <w:r>
        <w:rPr>
          <w:rStyle w:val="Hipervnculo"/>
          <w:rFonts w:ascii="Times New Roman" w:hAnsi="Times New Roman" w:cs="Times New Roman"/>
        </w:rPr>
        <w:fldChar w:fldCharType="end"/>
      </w:r>
      <w:r>
        <w:rPr>
          <w:rFonts w:ascii="Times New Roman" w:hAnsi="Times New Roman" w:cs="Times New Roman"/>
        </w:rPr>
        <w:t>.</w:t>
      </w:r>
    </w:p>
    <w:p w14:paraId="73EFE9C9" w14:textId="77777777" w:rsidR="00D71519" w:rsidRDefault="00000000">
      <w:pPr>
        <w:shd w:val="clear" w:color="auto" w:fill="FFFFFF"/>
        <w:spacing w:after="0" w:line="360" w:lineRule="auto"/>
        <w:ind w:left="567" w:hanging="567"/>
        <w:jc w:val="both"/>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 xml:space="preserve">Pérez, R. y Ramírez, S. (2019). </w:t>
      </w:r>
      <w:r>
        <w:rPr>
          <w:rFonts w:ascii="Times New Roman" w:eastAsia="Times New Roman" w:hAnsi="Times New Roman" w:cs="Times New Roman"/>
          <w:i/>
          <w:iCs/>
          <w:color w:val="000000"/>
          <w:sz w:val="24"/>
          <w:szCs w:val="24"/>
          <w:lang w:eastAsia="es-DO"/>
        </w:rPr>
        <w:t>Estrategias de capacitación para docentes en contextos inclusivos. </w:t>
      </w:r>
      <w:r>
        <w:rPr>
          <w:rFonts w:ascii="Times New Roman" w:eastAsia="Times New Roman" w:hAnsi="Times New Roman" w:cs="Times New Roman"/>
          <w:iCs/>
          <w:color w:val="000000"/>
          <w:sz w:val="24"/>
          <w:szCs w:val="24"/>
          <w:lang w:eastAsia="es-DO"/>
        </w:rPr>
        <w:t>Revista Latinoamericana de Educación</w:t>
      </w:r>
      <w:r>
        <w:rPr>
          <w:rFonts w:ascii="Times New Roman" w:eastAsia="Times New Roman" w:hAnsi="Times New Roman" w:cs="Times New Roman"/>
          <w:color w:val="000000"/>
          <w:sz w:val="24"/>
          <w:szCs w:val="24"/>
          <w:lang w:eastAsia="es-DO"/>
        </w:rPr>
        <w:t>, 14(2), 78-92.</w:t>
      </w:r>
    </w:p>
    <w:p w14:paraId="55E8ACD8" w14:textId="77777777" w:rsidR="00D71519" w:rsidRDefault="00000000">
      <w:pPr>
        <w:spacing w:after="0" w:line="360" w:lineRule="auto"/>
        <w:ind w:left="567" w:hanging="567"/>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es-DO"/>
        </w:rPr>
        <w:t xml:space="preserve">Rodríguez, Y. (2024). </w:t>
      </w:r>
      <w:r>
        <w:rPr>
          <w:rFonts w:ascii="Times New Roman" w:eastAsia="Times New Roman" w:hAnsi="Times New Roman" w:cs="Times New Roman"/>
          <w:i/>
          <w:iCs/>
          <w:color w:val="000000"/>
          <w:sz w:val="24"/>
          <w:szCs w:val="24"/>
          <w:lang w:eastAsia="es-DO"/>
        </w:rPr>
        <w:t>E</w:t>
      </w:r>
      <w:r>
        <w:rPr>
          <w:rFonts w:ascii="Times New Roman" w:hAnsi="Times New Roman" w:cs="Times New Roman"/>
          <w:i/>
          <w:iCs/>
          <w:color w:val="000000"/>
          <w:sz w:val="24"/>
          <w:szCs w:val="24"/>
          <w:lang w:val="es-US"/>
        </w:rPr>
        <w:t>l desarrollo de la habilidad diagnosticar en la enfermedad nodular del tiroides en los residentes de Endocrinología.</w:t>
      </w:r>
      <w:r>
        <w:rPr>
          <w:rFonts w:ascii="Times New Roman" w:hAnsi="Times New Roman" w:cs="Times New Roman"/>
          <w:color w:val="000000"/>
          <w:sz w:val="24"/>
          <w:szCs w:val="24"/>
          <w:lang w:val="es-US"/>
        </w:rPr>
        <w:t xml:space="preserve"> </w:t>
      </w:r>
      <w:r>
        <w:rPr>
          <w:rFonts w:ascii="Times New Roman" w:hAnsi="Times New Roman" w:cs="Times New Roman"/>
          <w:sz w:val="24"/>
          <w:szCs w:val="24"/>
        </w:rPr>
        <w:t xml:space="preserve">[Tesis doctoral no publicada]. Universidad “Ignacio Agramonte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Camagüey, Cuba.</w:t>
      </w:r>
    </w:p>
    <w:p w14:paraId="5A3BC457" w14:textId="77777777" w:rsidR="00D71519" w:rsidRDefault="00000000">
      <w:pPr>
        <w:shd w:val="clear" w:color="auto" w:fill="FFFFFF"/>
        <w:spacing w:after="0" w:line="360" w:lineRule="auto"/>
        <w:ind w:left="567" w:hanging="567"/>
        <w:jc w:val="both"/>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 xml:space="preserve">Rodríguez, A. y Sánchez, M. (2021). </w:t>
      </w:r>
      <w:r>
        <w:rPr>
          <w:rFonts w:ascii="Times New Roman" w:eastAsia="Times New Roman" w:hAnsi="Times New Roman" w:cs="Times New Roman"/>
          <w:i/>
          <w:iCs/>
          <w:color w:val="000000"/>
          <w:sz w:val="24"/>
          <w:szCs w:val="24"/>
          <w:lang w:eastAsia="es-DO"/>
        </w:rPr>
        <w:t>La formación profesional como motor de inclusión educativa.</w:t>
      </w:r>
      <w:r>
        <w:rPr>
          <w:rFonts w:ascii="Times New Roman" w:eastAsia="Times New Roman" w:hAnsi="Times New Roman" w:cs="Times New Roman"/>
          <w:color w:val="000000"/>
          <w:sz w:val="24"/>
          <w:szCs w:val="24"/>
          <w:lang w:eastAsia="es-DO"/>
        </w:rPr>
        <w:t> </w:t>
      </w:r>
      <w:r>
        <w:rPr>
          <w:rFonts w:ascii="Times New Roman" w:eastAsia="Times New Roman" w:hAnsi="Times New Roman" w:cs="Times New Roman"/>
          <w:iCs/>
          <w:color w:val="000000"/>
          <w:sz w:val="24"/>
          <w:szCs w:val="24"/>
          <w:lang w:eastAsia="es-DO"/>
        </w:rPr>
        <w:t>Revista de Estudios Pedagógicos</w:t>
      </w:r>
      <w:r>
        <w:rPr>
          <w:rFonts w:ascii="Times New Roman" w:eastAsia="Times New Roman" w:hAnsi="Times New Roman" w:cs="Times New Roman"/>
          <w:color w:val="000000"/>
          <w:sz w:val="24"/>
          <w:szCs w:val="24"/>
          <w:lang w:eastAsia="es-DO"/>
        </w:rPr>
        <w:t>, 19(4), 101-115.</w:t>
      </w:r>
    </w:p>
    <w:p w14:paraId="41E830B2" w14:textId="77777777" w:rsidR="00D71519" w:rsidRDefault="00000000">
      <w:pPr>
        <w:shd w:val="clear" w:color="auto" w:fill="FFFFFF"/>
        <w:spacing w:after="0" w:line="360" w:lineRule="auto"/>
        <w:ind w:left="567" w:hanging="567"/>
        <w:jc w:val="both"/>
        <w:rPr>
          <w:rFonts w:ascii="Times New Roman" w:eastAsia="Calibri" w:hAnsi="Times New Roman" w:cs="Times New Roman"/>
          <w:sz w:val="24"/>
          <w:szCs w:val="24"/>
        </w:rPr>
      </w:pPr>
      <w:r>
        <w:rPr>
          <w:rFonts w:ascii="Times New Roman" w:hAnsi="Times New Roman" w:cs="Times New Roman"/>
          <w:sz w:val="24"/>
          <w:szCs w:val="24"/>
          <w:lang w:val="es-EC" w:eastAsia="ar-SA"/>
        </w:rPr>
        <w:t>Serrano</w:t>
      </w:r>
      <w:r>
        <w:rPr>
          <w:rFonts w:ascii="Times New Roman" w:hAnsi="Times New Roman" w:cs="Times New Roman"/>
          <w:sz w:val="24"/>
          <w:szCs w:val="24"/>
          <w:lang w:val="es-EC"/>
        </w:rPr>
        <w:t>,</w:t>
      </w:r>
      <w:r>
        <w:rPr>
          <w:rFonts w:ascii="Times New Roman" w:hAnsi="Times New Roman" w:cs="Times New Roman"/>
          <w:sz w:val="24"/>
          <w:szCs w:val="24"/>
          <w:lang w:val="es-EC" w:eastAsia="ar-SA"/>
        </w:rPr>
        <w:t xml:space="preserve"> L</w:t>
      </w:r>
      <w:r>
        <w:rPr>
          <w:rFonts w:ascii="Times New Roman" w:hAnsi="Times New Roman" w:cs="Times New Roman"/>
          <w:sz w:val="24"/>
          <w:szCs w:val="24"/>
          <w:lang w:val="es-EC"/>
        </w:rPr>
        <w:t>. (2016).</w:t>
      </w:r>
      <w:r>
        <w:rPr>
          <w:rFonts w:ascii="Times New Roman" w:hAnsi="Times New Roman" w:cs="Times New Roman"/>
          <w:i/>
          <w:iCs/>
          <w:sz w:val="24"/>
          <w:szCs w:val="24"/>
          <w:lang w:val="es-EC"/>
        </w:rPr>
        <w:t xml:space="preserve"> </w:t>
      </w:r>
      <w:r>
        <w:rPr>
          <w:rFonts w:ascii="Times New Roman" w:hAnsi="Times New Roman" w:cs="Times New Roman"/>
          <w:i/>
          <w:iCs/>
          <w:sz w:val="24"/>
          <w:szCs w:val="24"/>
          <w:lang w:val="es-EC" w:eastAsia="ar-SA"/>
        </w:rPr>
        <w:t xml:space="preserve">Estrategia para la superación a adiestrados de </w:t>
      </w:r>
      <w:proofErr w:type="spellStart"/>
      <w:r>
        <w:rPr>
          <w:rFonts w:ascii="Times New Roman" w:hAnsi="Times New Roman" w:cs="Times New Roman"/>
          <w:i/>
          <w:iCs/>
          <w:sz w:val="24"/>
          <w:szCs w:val="24"/>
          <w:lang w:val="es-EC" w:eastAsia="ar-SA"/>
        </w:rPr>
        <w:t>Educ</w:t>
      </w:r>
      <w:r>
        <w:rPr>
          <w:rFonts w:ascii="Times New Roman" w:hAnsi="Times New Roman" w:cs="Times New Roman"/>
          <w:i/>
          <w:iCs/>
          <w:sz w:val="24"/>
          <w:szCs w:val="24"/>
          <w:lang w:eastAsia="ar-SA"/>
        </w:rPr>
        <w:t>ación</w:t>
      </w:r>
      <w:proofErr w:type="spellEnd"/>
      <w:r>
        <w:rPr>
          <w:rFonts w:ascii="Times New Roman" w:hAnsi="Times New Roman" w:cs="Times New Roman"/>
          <w:i/>
          <w:iCs/>
          <w:sz w:val="24"/>
          <w:szCs w:val="24"/>
          <w:lang w:eastAsia="ar-SA"/>
        </w:rPr>
        <w:t xml:space="preserve"> Física dirigida a la corrección y/o compensación de los trastornos articulatorios en niños del primer ciclo con diagnóstico de Retraso Mental Leve.</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[Tesis doctoral no publicada]. </w:t>
      </w:r>
      <w:r>
        <w:rPr>
          <w:rFonts w:ascii="Times New Roman" w:hAnsi="Times New Roman" w:cs="Times New Roman"/>
          <w:iCs/>
          <w:sz w:val="24"/>
          <w:szCs w:val="24"/>
        </w:rPr>
        <w:t xml:space="preserve">Universidad de Camagüey “Ignacio Agramonte </w:t>
      </w:r>
      <w:proofErr w:type="spellStart"/>
      <w:r>
        <w:rPr>
          <w:rFonts w:ascii="Times New Roman" w:hAnsi="Times New Roman" w:cs="Times New Roman"/>
          <w:iCs/>
          <w:sz w:val="24"/>
          <w:szCs w:val="24"/>
        </w:rPr>
        <w:t>Loynaz</w:t>
      </w:r>
      <w:proofErr w:type="spellEnd"/>
      <w:r>
        <w:rPr>
          <w:rFonts w:ascii="Times New Roman" w:hAnsi="Times New Roman" w:cs="Times New Roman"/>
          <w:iCs/>
          <w:sz w:val="24"/>
          <w:szCs w:val="24"/>
        </w:rPr>
        <w:t>”.</w:t>
      </w:r>
      <w:r>
        <w:rPr>
          <w:rFonts w:ascii="Times New Roman" w:hAnsi="Times New Roman" w:cs="Times New Roman"/>
          <w:sz w:val="24"/>
          <w:szCs w:val="24"/>
        </w:rPr>
        <w:t xml:space="preserve"> Camagüey, Cuba.</w:t>
      </w:r>
    </w:p>
    <w:p w14:paraId="03A0F682" w14:textId="77777777" w:rsidR="00D71519"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Sierra, R. (2020). </w:t>
      </w:r>
      <w:r>
        <w:rPr>
          <w:rFonts w:ascii="Times New Roman" w:hAnsi="Times New Roman" w:cs="Times New Roman"/>
          <w:i/>
          <w:iCs/>
          <w:sz w:val="24"/>
          <w:szCs w:val="24"/>
        </w:rPr>
        <w:t xml:space="preserve">La alternativa y su conceptualización en el contexto pedagógico. Revista Transformación, </w:t>
      </w:r>
      <w:r>
        <w:rPr>
          <w:rFonts w:ascii="Times New Roman" w:hAnsi="Times New Roman" w:cs="Times New Roman"/>
          <w:sz w:val="24"/>
          <w:szCs w:val="24"/>
        </w:rPr>
        <w:t>16(2), 13-15. https://scielo.sld.cu/scielo.php?scri </w:t>
      </w:r>
    </w:p>
    <w:p w14:paraId="511D8489" w14:textId="77777777" w:rsidR="00D71519"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SIUBEN. (2018). </w:t>
      </w:r>
      <w:r>
        <w:rPr>
          <w:rFonts w:ascii="Times New Roman" w:hAnsi="Times New Roman" w:cs="Times New Roman"/>
          <w:i/>
          <w:iCs/>
          <w:sz w:val="24"/>
          <w:szCs w:val="24"/>
        </w:rPr>
        <w:t>Tercer Estudio Socioeconómico de Hogares.</w:t>
      </w:r>
      <w:r>
        <w:rPr>
          <w:rFonts w:ascii="Times New Roman" w:hAnsi="Times New Roman" w:cs="Times New Roman"/>
          <w:sz w:val="24"/>
          <w:szCs w:val="24"/>
        </w:rPr>
        <w:t xml:space="preserve"> Informe final. Santo Domingo: Organización de las Naciones Unidas.</w:t>
      </w:r>
      <w:r>
        <w:rPr>
          <w:rFonts w:ascii="Times New Roman" w:hAnsi="Times New Roman" w:cs="Times New Roman"/>
          <w:sz w:val="24"/>
          <w:szCs w:val="24"/>
          <w:lang w:eastAsia="es-DO"/>
        </w:rPr>
        <w:t xml:space="preserve"> </w:t>
      </w:r>
      <w:r>
        <w:fldChar w:fldCharType="begin"/>
      </w:r>
      <w:r>
        <w:instrText xml:space="preserve"> HYPERLINK "https://www.unicef.org" </w:instrText>
      </w:r>
      <w:r>
        <w:fldChar w:fldCharType="separate"/>
      </w:r>
      <w:r>
        <w:rPr>
          <w:rStyle w:val="Hipervnculo"/>
          <w:rFonts w:ascii="Times New Roman" w:hAnsi="Times New Roman" w:cs="Times New Roman"/>
          <w:sz w:val="24"/>
          <w:szCs w:val="24"/>
        </w:rPr>
        <w:t>https://www.unicef.org</w:t>
      </w:r>
      <w:r>
        <w:rPr>
          <w:rStyle w:val="Hipervnculo"/>
          <w:rFonts w:ascii="Times New Roman" w:hAnsi="Times New Roman" w:cs="Times New Roman"/>
          <w:sz w:val="24"/>
          <w:szCs w:val="24"/>
        </w:rPr>
        <w:fldChar w:fldCharType="end"/>
      </w:r>
    </w:p>
    <w:p w14:paraId="74725528" w14:textId="77777777" w:rsidR="00D71519"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Taro, J. (2019). </w:t>
      </w:r>
      <w:r>
        <w:rPr>
          <w:rFonts w:ascii="Times New Roman" w:hAnsi="Times New Roman" w:cs="Times New Roman"/>
          <w:bCs/>
          <w:i/>
          <w:iCs/>
          <w:sz w:val="24"/>
          <w:szCs w:val="24"/>
        </w:rPr>
        <w:t>Estrategia para la superación a graduados de Educación Física dirigida al desarrollo de la motricidad en adultos con hemiplejia crónica.</w:t>
      </w:r>
      <w:r>
        <w:rPr>
          <w:rFonts w:ascii="Times New Roman" w:hAnsi="Times New Roman" w:cs="Times New Roman"/>
          <w:sz w:val="24"/>
          <w:szCs w:val="24"/>
        </w:rPr>
        <w:t xml:space="preserve"> [Tesis doctoral no publicada]. </w:t>
      </w:r>
      <w:r>
        <w:rPr>
          <w:rFonts w:ascii="Times New Roman" w:hAnsi="Times New Roman" w:cs="Times New Roman"/>
          <w:iCs/>
          <w:sz w:val="24"/>
          <w:szCs w:val="24"/>
        </w:rPr>
        <w:t xml:space="preserve">Universidad de Camagüey “Ignacio Agramonte </w:t>
      </w:r>
      <w:proofErr w:type="spellStart"/>
      <w:r>
        <w:rPr>
          <w:rFonts w:ascii="Times New Roman" w:hAnsi="Times New Roman" w:cs="Times New Roman"/>
          <w:iCs/>
          <w:sz w:val="24"/>
          <w:szCs w:val="24"/>
        </w:rPr>
        <w:t>Loynaz</w:t>
      </w:r>
      <w:proofErr w:type="spellEnd"/>
      <w:r>
        <w:rPr>
          <w:rFonts w:ascii="Times New Roman" w:hAnsi="Times New Roman" w:cs="Times New Roman"/>
          <w:iCs/>
          <w:sz w:val="24"/>
          <w:szCs w:val="24"/>
        </w:rPr>
        <w:t>”.</w:t>
      </w:r>
      <w:r>
        <w:rPr>
          <w:rFonts w:ascii="Times New Roman" w:hAnsi="Times New Roman" w:cs="Times New Roman"/>
          <w:sz w:val="24"/>
          <w:szCs w:val="24"/>
        </w:rPr>
        <w:t xml:space="preserve"> Camagüey, Cuba.</w:t>
      </w:r>
    </w:p>
    <w:p w14:paraId="6139D41E" w14:textId="77777777" w:rsidR="00D71519" w:rsidRDefault="00D71519">
      <w:pPr>
        <w:spacing w:after="0" w:line="240" w:lineRule="auto"/>
        <w:ind w:left="567" w:hanging="567"/>
        <w:jc w:val="both"/>
        <w:rPr>
          <w:rFonts w:ascii="Times New Roman" w:hAnsi="Times New Roman" w:cs="Times New Roman"/>
          <w:sz w:val="24"/>
          <w:szCs w:val="24"/>
        </w:rPr>
      </w:pPr>
    </w:p>
    <w:p w14:paraId="028B7505" w14:textId="77777777" w:rsidR="00D71519"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3B14E66E" w14:textId="77777777" w:rsidR="00D71519" w:rsidRDefault="00000000">
      <w:pPr>
        <w:widowControl w:val="0"/>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Los autores declaran que este manuscrito es original y no se ha enviado a otra revista. Somos responsables del contenido recogido en el artículo y en él no existen plagios ni conflictos de interés ni éticos</w:t>
      </w:r>
    </w:p>
    <w:p w14:paraId="2BD8EAD9" w14:textId="77777777" w:rsidR="00D71519" w:rsidRDefault="00000000">
      <w:pPr>
        <w:widowControl w:val="0"/>
        <w:spacing w:after="120" w:line="360" w:lineRule="auto"/>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Lic</w:t>
      </w:r>
      <w:proofErr w:type="spellEnd"/>
      <w:r>
        <w:rPr>
          <w:rFonts w:ascii="Times New Roman" w:hAnsi="Times New Roman" w:cs="Times New Roman"/>
          <w:sz w:val="24"/>
          <w:szCs w:val="24"/>
          <w:shd w:val="clear" w:color="auto" w:fill="FFFFFF"/>
        </w:rPr>
        <w:t xml:space="preserve">  Sheila</w:t>
      </w:r>
      <w:proofErr w:type="gramEnd"/>
      <w:r>
        <w:rPr>
          <w:rFonts w:ascii="Times New Roman" w:hAnsi="Times New Roman" w:cs="Times New Roman"/>
          <w:sz w:val="24"/>
          <w:szCs w:val="24"/>
          <w:shd w:val="clear" w:color="auto" w:fill="FFFFFF"/>
        </w:rPr>
        <w:t xml:space="preserve"> Mariel Mella Jiménez: Conceptualización, análisis formal, investigación, visualización, redacción-borrador original, redacción-revisión y edición. </w:t>
      </w:r>
    </w:p>
    <w:p w14:paraId="3BB64BFE" w14:textId="77777777" w:rsidR="00D71519" w:rsidRDefault="00000000">
      <w:pPr>
        <w:widowControl w:val="0"/>
        <w:spacing w:after="12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Dr.C</w:t>
      </w:r>
      <w:proofErr w:type="spellEnd"/>
      <w:r>
        <w:rPr>
          <w:rFonts w:ascii="Times New Roman" w:hAnsi="Times New Roman" w:cs="Times New Roman"/>
          <w:sz w:val="24"/>
          <w:szCs w:val="24"/>
          <w:shd w:val="clear" w:color="auto" w:fill="FFFFFF"/>
        </w:rPr>
        <w:t xml:space="preserve">. Ángel Luis Gómez Cardoso: Conceptualización, investigación, redacción-revisión y edición </w:t>
      </w:r>
      <w:proofErr w:type="spellStart"/>
      <w:r>
        <w:rPr>
          <w:rFonts w:ascii="Times New Roman" w:hAnsi="Times New Roman" w:cs="Times New Roman"/>
          <w:sz w:val="24"/>
          <w:szCs w:val="24"/>
          <w:shd w:val="clear" w:color="auto" w:fill="FFFFFF"/>
        </w:rPr>
        <w:t>Dr.C</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Clay</w:t>
      </w:r>
      <w:proofErr w:type="spellEnd"/>
      <w:r>
        <w:rPr>
          <w:rFonts w:ascii="Times New Roman" w:hAnsi="Times New Roman" w:cs="Times New Roman"/>
          <w:sz w:val="24"/>
          <w:szCs w:val="24"/>
          <w:shd w:val="clear" w:color="auto" w:fill="FFFFFF"/>
        </w:rPr>
        <w:t xml:space="preserve"> Pérez Jiménez: Conceptualización, investigación, redacción-revisión y edición.</w:t>
      </w:r>
    </w:p>
    <w:sectPr w:rsidR="00D71519" w:rsidSect="00916749">
      <w:headerReference w:type="default" r:id="rId9"/>
      <w:footerReference w:type="default" r:id="rId10"/>
      <w:pgSz w:w="12240" w:h="15840"/>
      <w:pgMar w:top="1980" w:right="1440" w:bottom="2970" w:left="1350" w:header="810" w:footer="451"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FA2E" w14:textId="77777777" w:rsidR="00455634" w:rsidRDefault="00455634">
      <w:pPr>
        <w:spacing w:line="240" w:lineRule="auto"/>
      </w:pPr>
      <w:r>
        <w:separator/>
      </w:r>
    </w:p>
  </w:endnote>
  <w:endnote w:type="continuationSeparator" w:id="0">
    <w:p w14:paraId="1F8596ED" w14:textId="77777777" w:rsidR="00455634" w:rsidRDefault="0045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916749" w:rsidRPr="00916749" w14:paraId="46A21284"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663B630F" w14:textId="77777777" w:rsidR="00916749" w:rsidRPr="00916749" w:rsidRDefault="00916749" w:rsidP="00916749">
          <w:pPr>
            <w:spacing w:after="0" w:line="240" w:lineRule="auto"/>
            <w:rPr>
              <w:rFonts w:ascii="Calibri" w:eastAsia="Calibri" w:hAnsi="Calibri" w:cs="Times New Roman"/>
              <w:b/>
              <w:color w:val="FFFFFF"/>
              <w:lang w:val="en-US"/>
            </w:rPr>
          </w:pPr>
          <w:r w:rsidRPr="00916749">
            <w:rPr>
              <w:rFonts w:ascii="Calibri" w:eastAsia="Calibri" w:hAnsi="Calibri" w:cs="Times New Roman"/>
              <w:b/>
              <w:noProof/>
              <w:color w:val="FFFFFF"/>
              <w:lang w:val="en-US"/>
            </w:rPr>
            <w:drawing>
              <wp:inline distT="0" distB="0" distL="0" distR="0" wp14:anchorId="4D72A703" wp14:editId="427DEFB0">
                <wp:extent cx="1174805" cy="411480"/>
                <wp:effectExtent l="0" t="0" r="6350" b="7620"/>
                <wp:docPr id="1044642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0F54226D" w14:textId="77777777" w:rsidR="00916749" w:rsidRPr="00916749" w:rsidRDefault="00916749" w:rsidP="00916749">
          <w:pPr>
            <w:spacing w:after="0" w:line="240" w:lineRule="auto"/>
            <w:rPr>
              <w:rFonts w:ascii="Calibri" w:eastAsia="Calibri" w:hAnsi="Calibri" w:cs="Times New Roman"/>
              <w:color w:val="FFFFFF"/>
              <w:sz w:val="20"/>
              <w:lang w:val="es-CU"/>
            </w:rPr>
          </w:pPr>
          <w:r w:rsidRPr="00916749">
            <w:rPr>
              <w:rFonts w:ascii="Calibri" w:eastAsia="Calibri" w:hAnsi="Calibri" w:cs="Times New Roman"/>
              <w:color w:val="FFFFFF"/>
              <w:sz w:val="20"/>
              <w:lang w:val="es-CU"/>
            </w:rPr>
            <w:t xml:space="preserve">Artículo de acceso abierto distribuido bajo los términos de la licencia Creative </w:t>
          </w:r>
          <w:proofErr w:type="spellStart"/>
          <w:r w:rsidRPr="00916749">
            <w:rPr>
              <w:rFonts w:ascii="Calibri" w:eastAsia="Calibri" w:hAnsi="Calibri" w:cs="Times New Roman"/>
              <w:color w:val="FFFFFF"/>
              <w:sz w:val="20"/>
              <w:lang w:val="es-CU"/>
            </w:rPr>
            <w:t>Commons</w:t>
          </w:r>
          <w:proofErr w:type="spellEnd"/>
          <w:r w:rsidRPr="00916749">
            <w:rPr>
              <w:rFonts w:ascii="Calibri" w:eastAsia="Calibri" w:hAnsi="Calibri" w:cs="Times New Roman"/>
              <w:color w:val="FFFFFF"/>
              <w:sz w:val="20"/>
              <w:lang w:val="es-CU"/>
            </w:rPr>
            <w:t xml:space="preserve">. </w:t>
          </w:r>
        </w:p>
        <w:p w14:paraId="29B95942" w14:textId="77777777" w:rsidR="00916749" w:rsidRPr="00916749" w:rsidRDefault="00916749" w:rsidP="00916749">
          <w:pPr>
            <w:spacing w:after="0" w:line="240" w:lineRule="auto"/>
            <w:rPr>
              <w:rFonts w:ascii="Calibri" w:eastAsia="Calibri" w:hAnsi="Calibri" w:cs="Times New Roman"/>
              <w:b/>
              <w:color w:val="FFFFFF"/>
              <w:lang w:val="es-CU"/>
            </w:rPr>
          </w:pPr>
          <w:r w:rsidRPr="00916749">
            <w:rPr>
              <w:rFonts w:ascii="Calibri" w:eastAsia="Calibri" w:hAnsi="Calibri" w:cs="Times New Roman"/>
              <w:color w:val="FFFFFF"/>
              <w:sz w:val="20"/>
              <w:lang w:val="es-CU"/>
            </w:rPr>
            <w:t>Reconocimiento-</w:t>
          </w:r>
          <w:proofErr w:type="spellStart"/>
          <w:r w:rsidRPr="00916749">
            <w:rPr>
              <w:rFonts w:ascii="Calibri" w:eastAsia="Calibri" w:hAnsi="Calibri" w:cs="Times New Roman"/>
              <w:color w:val="FFFFFF"/>
              <w:sz w:val="20"/>
              <w:lang w:val="es-CU"/>
            </w:rPr>
            <w:t>NoComercial</w:t>
          </w:r>
          <w:proofErr w:type="spellEnd"/>
          <w:r w:rsidRPr="00916749">
            <w:rPr>
              <w:rFonts w:ascii="Calibri" w:eastAsia="Calibri" w:hAnsi="Calibri" w:cs="Times New Roman"/>
              <w:color w:val="FFFFFF"/>
              <w:sz w:val="20"/>
              <w:lang w:val="es-CU"/>
            </w:rPr>
            <w:t xml:space="preserve"> 4.0 Internacional (CC BY-NC 4.0)</w:t>
          </w:r>
        </w:p>
      </w:tc>
    </w:tr>
    <w:tr w:rsidR="00916749" w:rsidRPr="00916749" w14:paraId="58CEF868"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52AD2E1D" w14:textId="77777777" w:rsidR="00916749" w:rsidRPr="00916749" w:rsidRDefault="00916749" w:rsidP="00916749">
          <w:pPr>
            <w:spacing w:after="0" w:line="240" w:lineRule="auto"/>
            <w:jc w:val="center"/>
            <w:rPr>
              <w:rFonts w:ascii="Calibri" w:eastAsia="Calibri" w:hAnsi="Calibri" w:cs="Times New Roman"/>
              <w:color w:val="FFFFFF"/>
              <w:sz w:val="20"/>
              <w:lang w:val="es-CU"/>
            </w:rPr>
          </w:pPr>
          <w:r w:rsidRPr="00916749">
            <w:rPr>
              <w:rFonts w:ascii="Calibri" w:eastAsia="Calibri" w:hAnsi="Calibri" w:cs="Times New Roman"/>
              <w:color w:val="833C0B"/>
              <w:sz w:val="20"/>
              <w:lang w:val="es-CU"/>
            </w:rPr>
            <w:t>Calle 41 No. 3406 e/34 y 36 Playa, La Habana, Cuba.    /   revista@iccp.rimed.cu   /   www.cienciaspedagogicas.rimed.cu</w:t>
          </w:r>
        </w:p>
      </w:tc>
    </w:tr>
  </w:tbl>
  <w:p w14:paraId="171CA0E0" w14:textId="77777777" w:rsidR="00916749" w:rsidRDefault="00916749" w:rsidP="0091674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05464DA" w14:textId="77777777" w:rsidR="00D71519" w:rsidRDefault="00D715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22A3" w14:textId="77777777" w:rsidR="00455634" w:rsidRDefault="00455634">
      <w:pPr>
        <w:spacing w:after="0"/>
      </w:pPr>
      <w:r>
        <w:separator/>
      </w:r>
    </w:p>
  </w:footnote>
  <w:footnote w:type="continuationSeparator" w:id="0">
    <w:p w14:paraId="31E68C07" w14:textId="77777777" w:rsidR="00455634" w:rsidRDefault="00455634">
      <w:pPr>
        <w:spacing w:after="0"/>
      </w:pPr>
      <w:r>
        <w:continuationSeparator/>
      </w:r>
    </w:p>
  </w:footnote>
  <w:footnote w:id="1">
    <w:p w14:paraId="7461055B" w14:textId="77777777" w:rsidR="00D71519" w:rsidRDefault="00000000">
      <w:pPr>
        <w:pStyle w:val="Textonotapie"/>
        <w:snapToGrid w:val="0"/>
      </w:pPr>
      <w:r>
        <w:rPr>
          <w:rStyle w:val="Refdenotaalpie"/>
        </w:rPr>
        <w:footnoteRef/>
      </w:r>
      <w:r>
        <w:t xml:space="preserve"> Especialista en Discapacidad Auditiva</w:t>
      </w:r>
    </w:p>
  </w:footnote>
  <w:footnote w:id="2">
    <w:p w14:paraId="49176CC5" w14:textId="77777777" w:rsidR="00D71519" w:rsidRDefault="00000000">
      <w:pPr>
        <w:pStyle w:val="Textonotapie"/>
        <w:snapToGrid w:val="0"/>
      </w:pPr>
      <w:r>
        <w:rPr>
          <w:rStyle w:val="Refdenotaalpie"/>
        </w:rPr>
        <w:footnoteRef/>
      </w:r>
      <w:r>
        <w:t xml:space="preserve"> Docente, investigador y profesor titular </w:t>
      </w:r>
    </w:p>
  </w:footnote>
  <w:footnote w:id="3">
    <w:p w14:paraId="22B48D05" w14:textId="77777777" w:rsidR="00D71519" w:rsidRDefault="00000000">
      <w:pPr>
        <w:pStyle w:val="Textonotapie"/>
        <w:snapToGrid w:val="0"/>
      </w:pPr>
      <w:r>
        <w:rPr>
          <w:rStyle w:val="Refdenotaalpie"/>
        </w:rPr>
        <w:footnoteRef/>
      </w:r>
      <w:r>
        <w:t xml:space="preserve"> Docente, investigador y profesor titular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916749" w:rsidRPr="00916749" w14:paraId="31E9BAA1" w14:textId="77777777" w:rsidTr="0039226C">
      <w:trPr>
        <w:trHeight w:val="955"/>
        <w:jc w:val="center"/>
      </w:trPr>
      <w:tc>
        <w:tcPr>
          <w:tcW w:w="4821" w:type="dxa"/>
          <w:tcMar>
            <w:top w:w="72" w:type="dxa"/>
            <w:left w:w="115" w:type="dxa"/>
            <w:bottom w:w="72" w:type="dxa"/>
            <w:right w:w="115" w:type="dxa"/>
          </w:tcMar>
          <w:vAlign w:val="center"/>
        </w:tcPr>
        <w:p w14:paraId="5436E68C" w14:textId="77777777" w:rsidR="00916749" w:rsidRPr="00916749" w:rsidRDefault="00916749" w:rsidP="00916749">
          <w:pPr>
            <w:spacing w:after="0" w:line="240" w:lineRule="auto"/>
            <w:ind w:left="32" w:hanging="10"/>
            <w:jc w:val="center"/>
            <w:rPr>
              <w:rFonts w:ascii="Arial" w:eastAsia="DengXian" w:hAnsi="Arial" w:cs="Arial"/>
              <w:b/>
              <w:sz w:val="28"/>
              <w:szCs w:val="24"/>
              <w:lang w:val="zh-CN"/>
            </w:rPr>
          </w:pPr>
          <w:r w:rsidRPr="00916749">
            <w:rPr>
              <w:rFonts w:ascii="DengXian" w:eastAsia="DengXian" w:hAnsi="DengXian" w:cs="Times New Roman"/>
              <w:noProof/>
              <w:lang w:val="zh-CN" w:eastAsia="es-ES"/>
            </w:rPr>
            <w:drawing>
              <wp:inline distT="0" distB="0" distL="0" distR="0" wp14:anchorId="2C5DFAE3" wp14:editId="2C6EA72A">
                <wp:extent cx="2933700" cy="572341"/>
                <wp:effectExtent l="0" t="0" r="0" b="0"/>
                <wp:docPr id="880683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59376638" w14:textId="77777777" w:rsidR="00916749" w:rsidRPr="00916749" w:rsidRDefault="00916749" w:rsidP="00916749">
          <w:pPr>
            <w:spacing w:after="0" w:line="240" w:lineRule="auto"/>
            <w:jc w:val="center"/>
            <w:rPr>
              <w:rFonts w:ascii="DengXian" w:eastAsia="DengXian" w:hAnsi="DengXian" w:cs="Times New Roman"/>
              <w:b/>
              <w:color w:val="FFFFFF"/>
              <w:sz w:val="16"/>
              <w:szCs w:val="16"/>
              <w:lang w:val="zh-CN"/>
            </w:rPr>
          </w:pPr>
          <w:r w:rsidRPr="00916749">
            <w:rPr>
              <w:rFonts w:ascii="DengXian" w:eastAsia="DengXian" w:hAnsi="DengXian" w:cs="Times New Roman"/>
              <w:b/>
              <w:color w:val="FFFFFF"/>
              <w:sz w:val="16"/>
              <w:szCs w:val="16"/>
              <w:lang w:val="zh-CN"/>
            </w:rPr>
            <w:t>ISSN: 1605 – 5888    RNPS: 1844</w:t>
          </w:r>
        </w:p>
        <w:p w14:paraId="3D59589F" w14:textId="77777777" w:rsidR="00916749" w:rsidRPr="00916749" w:rsidRDefault="00916749" w:rsidP="00916749">
          <w:pPr>
            <w:spacing w:after="0" w:line="240" w:lineRule="auto"/>
            <w:jc w:val="center"/>
            <w:rPr>
              <w:rFonts w:ascii="DengXian" w:eastAsia="DengXian" w:hAnsi="DengXian" w:cs="Times New Roman"/>
              <w:b/>
              <w:color w:val="FFFFFF"/>
              <w:sz w:val="16"/>
              <w:szCs w:val="16"/>
            </w:rPr>
          </w:pPr>
          <w:r w:rsidRPr="00916749">
            <w:rPr>
              <w:rFonts w:ascii="DengXian" w:eastAsia="DengXian" w:hAnsi="DengXian" w:cs="Times New Roman"/>
              <w:b/>
              <w:color w:val="FFFFFF"/>
              <w:sz w:val="16"/>
              <w:szCs w:val="16"/>
              <w:lang w:val="zh-CN"/>
            </w:rPr>
            <w:t>V.</w:t>
          </w:r>
          <w:r w:rsidRPr="00916749">
            <w:rPr>
              <w:rFonts w:ascii="DengXian" w:eastAsia="DengXian" w:hAnsi="DengXian" w:cs="Times New Roman"/>
              <w:b/>
              <w:color w:val="FFFFFF"/>
              <w:sz w:val="16"/>
              <w:szCs w:val="16"/>
            </w:rPr>
            <w:t>18</w:t>
          </w:r>
          <w:r w:rsidRPr="00916749">
            <w:rPr>
              <w:rFonts w:ascii="DengXian" w:eastAsia="DengXian" w:hAnsi="DengXian" w:cs="Times New Roman"/>
              <w:b/>
              <w:color w:val="FFFFFF"/>
              <w:sz w:val="16"/>
              <w:szCs w:val="16"/>
              <w:lang w:val="zh-CN"/>
            </w:rPr>
            <w:t>. No.</w:t>
          </w:r>
          <w:r w:rsidRPr="00916749">
            <w:rPr>
              <w:rFonts w:ascii="DengXian" w:eastAsia="DengXian" w:hAnsi="DengXian" w:cs="Times New Roman"/>
              <w:b/>
              <w:color w:val="FFFFFF"/>
              <w:sz w:val="16"/>
              <w:szCs w:val="16"/>
            </w:rPr>
            <w:t>3</w:t>
          </w:r>
          <w:r w:rsidRPr="00916749">
            <w:rPr>
              <w:rFonts w:ascii="DengXian" w:eastAsia="DengXian" w:hAnsi="DengXian" w:cs="Times New Roman"/>
              <w:b/>
              <w:color w:val="FFFFFF"/>
              <w:sz w:val="16"/>
              <w:szCs w:val="16"/>
              <w:lang w:val="zh-CN"/>
            </w:rPr>
            <w:t xml:space="preserve"> (</w:t>
          </w:r>
          <w:r w:rsidRPr="00916749">
            <w:rPr>
              <w:rFonts w:ascii="DengXian" w:eastAsia="DengXian" w:hAnsi="DengXian" w:cs="Times New Roman"/>
              <w:b/>
              <w:color w:val="FFFFFF"/>
              <w:sz w:val="16"/>
              <w:szCs w:val="16"/>
            </w:rPr>
            <w:t>septiembre-diciembre</w:t>
          </w:r>
          <w:r w:rsidRPr="00916749">
            <w:rPr>
              <w:rFonts w:ascii="DengXian" w:eastAsia="DengXian" w:hAnsi="DengXian" w:cs="Times New Roman"/>
              <w:b/>
              <w:color w:val="FFFFFF"/>
              <w:sz w:val="16"/>
              <w:szCs w:val="16"/>
              <w:lang w:val="zh-CN"/>
            </w:rPr>
            <w:t>) Año 202</w:t>
          </w:r>
          <w:r w:rsidRPr="00916749">
            <w:rPr>
              <w:rFonts w:ascii="DengXian" w:eastAsia="DengXian" w:hAnsi="DengXian" w:cs="Times New Roman"/>
              <w:b/>
              <w:color w:val="FFFFFF"/>
              <w:sz w:val="16"/>
              <w:szCs w:val="16"/>
            </w:rPr>
            <w:t>5</w:t>
          </w:r>
          <w:r w:rsidRPr="00916749">
            <w:rPr>
              <w:rFonts w:ascii="DengXian" w:eastAsia="DengXian" w:hAnsi="DengXian" w:cs="Times New Roman"/>
              <w:b/>
              <w:color w:val="FFFFFF"/>
              <w:sz w:val="16"/>
              <w:szCs w:val="16"/>
              <w:lang w:val="zh-CN"/>
            </w:rPr>
            <w:t xml:space="preserve">, 4ta Etapa </w:t>
          </w:r>
        </w:p>
        <w:p w14:paraId="27A9A348" w14:textId="77777777" w:rsidR="00916749" w:rsidRPr="00916749" w:rsidRDefault="00916749" w:rsidP="00916749">
          <w:pPr>
            <w:spacing w:after="0" w:line="240" w:lineRule="auto"/>
            <w:jc w:val="center"/>
            <w:rPr>
              <w:rFonts w:ascii="DengXian" w:eastAsia="DengXian" w:hAnsi="DengXian" w:cs="Times New Roman"/>
              <w:b/>
              <w:color w:val="FFFFFF"/>
              <w:sz w:val="20"/>
              <w:szCs w:val="20"/>
            </w:rPr>
          </w:pPr>
          <w:r w:rsidRPr="00916749">
            <w:rPr>
              <w:rFonts w:ascii="DengXian" w:eastAsia="DengXian" w:hAnsi="DengXian" w:cs="Times New Roman"/>
              <w:b/>
              <w:color w:val="FFFFFF"/>
              <w:sz w:val="16"/>
              <w:szCs w:val="16"/>
              <w:lang w:val="zh-CN"/>
            </w:rPr>
            <w:t>Págs.</w:t>
          </w:r>
          <w:r w:rsidRPr="00916749">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42-56</w:t>
          </w:r>
        </w:p>
      </w:tc>
    </w:tr>
  </w:tbl>
  <w:p w14:paraId="6EA9722D" w14:textId="77777777" w:rsidR="00D71519" w:rsidRDefault="00D71519">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A72"/>
    <w:multiLevelType w:val="multilevel"/>
    <w:tmpl w:val="04D62A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6E07713"/>
    <w:multiLevelType w:val="multilevel"/>
    <w:tmpl w:val="06E077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3611E3D"/>
    <w:multiLevelType w:val="multilevel"/>
    <w:tmpl w:val="13611E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6F65E53"/>
    <w:multiLevelType w:val="multilevel"/>
    <w:tmpl w:val="56F65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5B36696C"/>
    <w:multiLevelType w:val="multilevel"/>
    <w:tmpl w:val="5B3669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B9B05BF"/>
    <w:multiLevelType w:val="multilevel"/>
    <w:tmpl w:val="5B9B05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112240082">
    <w:abstractNumId w:val="3"/>
  </w:num>
  <w:num w:numId="2" w16cid:durableId="1193761930">
    <w:abstractNumId w:val="5"/>
  </w:num>
  <w:num w:numId="3" w16cid:durableId="1188253721">
    <w:abstractNumId w:val="0"/>
  </w:num>
  <w:num w:numId="4" w16cid:durableId="1169178917">
    <w:abstractNumId w:val="2"/>
  </w:num>
  <w:num w:numId="5" w16cid:durableId="1123840020">
    <w:abstractNumId w:val="1"/>
  </w:num>
  <w:num w:numId="6" w16cid:durableId="135072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7556C"/>
    <w:rsid w:val="000C55A7"/>
    <w:rsid w:val="001D6F32"/>
    <w:rsid w:val="00256960"/>
    <w:rsid w:val="0026601E"/>
    <w:rsid w:val="0029120C"/>
    <w:rsid w:val="002F4640"/>
    <w:rsid w:val="00402478"/>
    <w:rsid w:val="00424BC2"/>
    <w:rsid w:val="00441DC7"/>
    <w:rsid w:val="00455634"/>
    <w:rsid w:val="004E79AC"/>
    <w:rsid w:val="004F66AB"/>
    <w:rsid w:val="00501F05"/>
    <w:rsid w:val="00531D56"/>
    <w:rsid w:val="005C4909"/>
    <w:rsid w:val="005D77CB"/>
    <w:rsid w:val="0063134D"/>
    <w:rsid w:val="006A2B81"/>
    <w:rsid w:val="006D41EF"/>
    <w:rsid w:val="006D5B41"/>
    <w:rsid w:val="006E6D40"/>
    <w:rsid w:val="007C1741"/>
    <w:rsid w:val="007F569F"/>
    <w:rsid w:val="00823942"/>
    <w:rsid w:val="00916749"/>
    <w:rsid w:val="00951CAC"/>
    <w:rsid w:val="00975652"/>
    <w:rsid w:val="009913BB"/>
    <w:rsid w:val="009A5927"/>
    <w:rsid w:val="009F3942"/>
    <w:rsid w:val="00A41E4A"/>
    <w:rsid w:val="00B06158"/>
    <w:rsid w:val="00C7085A"/>
    <w:rsid w:val="00CB0CC8"/>
    <w:rsid w:val="00CF0E6C"/>
    <w:rsid w:val="00D71519"/>
    <w:rsid w:val="00DB612E"/>
    <w:rsid w:val="00E873A9"/>
    <w:rsid w:val="00F146C4"/>
    <w:rsid w:val="00F22173"/>
    <w:rsid w:val="00F67BCE"/>
    <w:rsid w:val="00FC63B0"/>
    <w:rsid w:val="00FC70D4"/>
    <w:rsid w:val="00FE1BDE"/>
    <w:rsid w:val="02D9203A"/>
    <w:rsid w:val="0989738A"/>
    <w:rsid w:val="1B3C5EBC"/>
    <w:rsid w:val="20025993"/>
    <w:rsid w:val="27C53386"/>
    <w:rsid w:val="431E4260"/>
    <w:rsid w:val="4A4C54E7"/>
    <w:rsid w:val="53B637DF"/>
    <w:rsid w:val="5962108A"/>
    <w:rsid w:val="5AD90D18"/>
    <w:rsid w:val="63F27C87"/>
    <w:rsid w:val="74A32171"/>
    <w:rsid w:val="7EDB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C1C9"/>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link w:val="Ttulo1Car"/>
    <w:autoRedefine/>
    <w:qFormat/>
    <w:pPr>
      <w:keepNext/>
      <w:spacing w:after="0" w:line="240" w:lineRule="auto"/>
      <w:jc w:val="center"/>
      <w:outlineLvl w:val="0"/>
    </w:pPr>
    <w:rPr>
      <w:rFonts w:ascii="Calibri" w:eastAsia="Calibri" w:hAnsi="Calibri" w:cs="Calibri"/>
      <w:b/>
      <w:bCs/>
      <w:kern w:val="32"/>
      <w:sz w:val="32"/>
      <w:szCs w:val="32"/>
      <w:lang w:val="es-DO"/>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qFormat/>
    <w:pPr>
      <w:spacing w:after="120" w:line="276" w:lineRule="auto"/>
    </w:pPr>
    <w:rPr>
      <w:rFonts w:ascii="Times New Roman" w:eastAsia="Calibri" w:hAnsi="Times New Roman" w:cs="Times New Roman"/>
    </w:rPr>
  </w:style>
  <w:style w:type="paragraph" w:styleId="Textoindependiente3">
    <w:name w:val="Body Text 3"/>
    <w:basedOn w:val="Normal"/>
    <w:link w:val="Textoindependiente3Car"/>
    <w:uiPriority w:val="99"/>
    <w:semiHidden/>
    <w:unhideWhenUsed/>
    <w:qFormat/>
    <w:pPr>
      <w:spacing w:after="120" w:line="276" w:lineRule="auto"/>
    </w:pPr>
    <w:rPr>
      <w:rFonts w:ascii="Times New Roman" w:eastAsia="Calibri" w:hAnsi="Times New Roman" w:cs="Times New Roman"/>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Calibri" w:hAnsi="Courier New" w:cs="Courier New"/>
      <w:sz w:val="20"/>
      <w:szCs w:val="20"/>
    </w:r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link w:val="PrrafodelistaCar"/>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tulo1Car">
    <w:name w:val="Título 1 Car"/>
    <w:basedOn w:val="Fuentedeprrafopredeter"/>
    <w:link w:val="Ttulo1"/>
    <w:qFormat/>
    <w:rPr>
      <w:rFonts w:ascii="Calibri" w:eastAsia="Calibri" w:hAnsi="Calibri" w:cs="Calibri"/>
      <w:b/>
      <w:bCs/>
      <w:kern w:val="32"/>
      <w:sz w:val="32"/>
      <w:szCs w:val="32"/>
      <w:lang w:val="es-DO"/>
    </w:rPr>
  </w:style>
  <w:style w:type="character" w:customStyle="1" w:styleId="HTMLconformatoprevioCar">
    <w:name w:val="HTML con formato previo Car"/>
    <w:basedOn w:val="Fuentedeprrafopredeter"/>
    <w:link w:val="HTMLconformatoprevio"/>
    <w:uiPriority w:val="99"/>
    <w:semiHidden/>
    <w:qFormat/>
    <w:rPr>
      <w:rFonts w:ascii="Courier New" w:eastAsia="Calibri" w:hAnsi="Courier New" w:cs="Courier New"/>
      <w:sz w:val="20"/>
      <w:szCs w:val="20"/>
      <w:lang w:val="es-ES"/>
    </w:rPr>
  </w:style>
  <w:style w:type="character" w:customStyle="1" w:styleId="TextoindependienteCar">
    <w:name w:val="Texto independiente Car"/>
    <w:basedOn w:val="Fuentedeprrafopredeter"/>
    <w:link w:val="Textoindependiente"/>
    <w:uiPriority w:val="99"/>
    <w:semiHidden/>
    <w:qFormat/>
    <w:rPr>
      <w:rFonts w:ascii="Times New Roman" w:eastAsia="Calibri" w:hAnsi="Times New Roman" w:cs="Times New Roman"/>
      <w:lang w:val="es-ES"/>
    </w:rPr>
  </w:style>
  <w:style w:type="character" w:customStyle="1" w:styleId="Textoindependiente3Car">
    <w:name w:val="Texto independiente 3 Car"/>
    <w:basedOn w:val="Fuentedeprrafopredeter"/>
    <w:link w:val="Textoindependiente3"/>
    <w:uiPriority w:val="99"/>
    <w:semiHidden/>
    <w:qFormat/>
    <w:rPr>
      <w:rFonts w:ascii="Times New Roman" w:eastAsia="Calibri" w:hAnsi="Times New Roman" w:cs="Times New Roman"/>
      <w:sz w:val="16"/>
      <w:szCs w:val="16"/>
      <w:lang w:val="es-ES"/>
    </w:rPr>
  </w:style>
  <w:style w:type="character" w:customStyle="1" w:styleId="PrrafodelistaCar">
    <w:name w:val="Párrafo de lista Car"/>
    <w:link w:val="Prrafodelista"/>
    <w:qFormat/>
    <w:locked/>
    <w:rPr>
      <w:lang w:val="es-ES"/>
    </w:rPr>
  </w:style>
  <w:style w:type="paragraph" w:customStyle="1" w:styleId="Default">
    <w:name w:val="Default"/>
    <w:uiPriority w:val="99"/>
    <w:qFormat/>
    <w:pPr>
      <w:autoSpaceDE w:val="0"/>
      <w:autoSpaceDN w:val="0"/>
      <w:adjustRightInd w:val="0"/>
    </w:pPr>
    <w:rPr>
      <w:rFonts w:ascii="Verdana" w:eastAsia="Calibri" w:hAnsi="Verdana" w:cs="Verdana"/>
      <w:color w:val="000000"/>
      <w:sz w:val="24"/>
      <w:szCs w:val="24"/>
      <w:lang w:val="es-ES"/>
    </w:rPr>
  </w:style>
  <w:style w:type="paragraph" w:customStyle="1" w:styleId="Textoindependiente2">
    <w:name w:val="Texto independiente+2"/>
    <w:basedOn w:val="Normal"/>
    <w:next w:val="Normal"/>
    <w:uiPriority w:val="99"/>
    <w:qFormat/>
    <w:pPr>
      <w:suppressAutoHyphens/>
      <w:autoSpaceDE w:val="0"/>
      <w:autoSpaceDN w:val="0"/>
      <w:spacing w:after="0" w:line="240" w:lineRule="auto"/>
    </w:pPr>
    <w:rPr>
      <w:rFonts w:ascii="Arial" w:eastAsia="Times New Roman" w:hAnsi="Arial" w:cs="Arial"/>
      <w:sz w:val="24"/>
      <w:szCs w:val="24"/>
      <w:lang w:eastAsia="es-ES"/>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E74B5" w:themeColor="accent1" w:themeShade="BF"/>
      <w:lang w:val="es-ES"/>
    </w:rPr>
  </w:style>
  <w:style w:type="table" w:customStyle="1" w:styleId="Tablaconcuadrcula1">
    <w:name w:val="Tabla con cuadrícula1"/>
    <w:basedOn w:val="Tablanormal"/>
    <w:next w:val="Tablaconcuadrcula"/>
    <w:uiPriority w:val="39"/>
    <w:qFormat/>
    <w:rsid w:val="0091674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91674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2-6896-89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DFEC-490B-4734-93D3-7DDA0E30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4223</Words>
  <Characters>24075</Characters>
  <Application>Microsoft Office Word</Application>
  <DocSecurity>0</DocSecurity>
  <Lines>200</Lines>
  <Paragraphs>56</Paragraphs>
  <ScaleCrop>false</ScaleCrop>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cp:revision>
  <cp:lastPrinted>2025-11-24T02:36:00Z</cp:lastPrinted>
  <dcterms:created xsi:type="dcterms:W3CDTF">2025-08-21T20:44:00Z</dcterms:created>
  <dcterms:modified xsi:type="dcterms:W3CDTF">2025-11-24T02:36:00Z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5B337881188B4949889E9BE87532C643_12</vt:lpwstr>
  </property>
</Properties>
</file>