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4E3E" w14:textId="77777777" w:rsidR="00C15B6B" w:rsidRDefault="00000000">
      <w:pPr>
        <w:spacing w:after="0"/>
        <w:jc w:val="center"/>
        <w:rPr>
          <w:rFonts w:cs="Times New Roman"/>
          <w:b/>
          <w:bCs/>
          <w:szCs w:val="24"/>
          <w:lang w:val="es-EC"/>
        </w:rPr>
      </w:pPr>
      <w:r>
        <w:rPr>
          <w:rFonts w:cs="Times New Roman"/>
          <w:b/>
          <w:bCs/>
          <w:szCs w:val="24"/>
          <w:lang w:val="es-EC"/>
        </w:rPr>
        <w:t>La inteligencia lógica matemática en la resolución de problemas en los estudiantes de segundo de bachillerato</w:t>
      </w:r>
    </w:p>
    <w:p w14:paraId="4F859A48" w14:textId="77777777" w:rsidR="00C15B6B" w:rsidRDefault="00000000">
      <w:pPr>
        <w:jc w:val="center"/>
        <w:rPr>
          <w:rFonts w:cs="Times New Roman"/>
          <w:szCs w:val="24"/>
        </w:rPr>
      </w:pPr>
      <w:r>
        <w:rPr>
          <w:rFonts w:cs="Times New Roman"/>
          <w:szCs w:val="24"/>
        </w:rPr>
        <w:t>Logical-mathematical intelligence in problem-solving in second-year high school students</w:t>
      </w:r>
    </w:p>
    <w:p w14:paraId="537C9C5D" w14:textId="77777777" w:rsidR="00C15B6B" w:rsidRDefault="00000000">
      <w:pPr>
        <w:jc w:val="right"/>
        <w:rPr>
          <w:rFonts w:cs="Times New Roman"/>
          <w:b/>
          <w:bCs/>
          <w:i/>
          <w:iCs/>
          <w:szCs w:val="24"/>
          <w:lang w:val="es-EC"/>
        </w:rPr>
      </w:pPr>
      <w:r>
        <w:rPr>
          <w:rFonts w:cs="Times New Roman"/>
          <w:b/>
          <w:bCs/>
          <w:i/>
          <w:iCs/>
          <w:szCs w:val="24"/>
          <w:lang w:val="es-EC"/>
        </w:rPr>
        <w:t>Artículo de investigación</w:t>
      </w:r>
    </w:p>
    <w:p w14:paraId="6E877E50" w14:textId="77777777" w:rsidR="00C15B6B" w:rsidRDefault="00000000">
      <w:pPr>
        <w:rPr>
          <w:rFonts w:cs="Times New Roman"/>
          <w:b/>
          <w:bCs/>
          <w:szCs w:val="24"/>
          <w:lang w:val="es-EC"/>
        </w:rPr>
      </w:pPr>
      <w:r>
        <w:rPr>
          <w:rFonts w:cs="Times New Roman"/>
          <w:b/>
          <w:bCs/>
          <w:szCs w:val="24"/>
          <w:lang w:val="es-EC"/>
        </w:rPr>
        <w:t>AUTOR(ES):</w:t>
      </w:r>
    </w:p>
    <w:p w14:paraId="5F05BDCB" w14:textId="77777777" w:rsidR="00C15B6B" w:rsidRDefault="00000000">
      <w:pPr>
        <w:pStyle w:val="Sinespaciado"/>
        <w:spacing w:line="360" w:lineRule="auto"/>
        <w:ind w:left="426"/>
        <w:rPr>
          <w:rFonts w:ascii="Times New Roman" w:hAnsi="Times New Roman" w:cs="Times New Roman"/>
          <w:sz w:val="24"/>
          <w:szCs w:val="24"/>
          <w:lang w:val="es-EC"/>
        </w:rPr>
      </w:pPr>
      <w:r>
        <w:rPr>
          <w:rFonts w:ascii="Times New Roman" w:hAnsi="Times New Roman" w:cs="Times New Roman"/>
          <w:sz w:val="24"/>
          <w:szCs w:val="24"/>
          <w:lang w:val="es-EC"/>
        </w:rPr>
        <w:t>Luisa Geovanna Ramírez Hidalgo</w:t>
      </w:r>
      <w:r>
        <w:rPr>
          <w:rStyle w:val="Refdenotaalpie"/>
          <w:rFonts w:ascii="Times New Roman" w:hAnsi="Times New Roman" w:cs="Times New Roman"/>
          <w:sz w:val="24"/>
          <w:szCs w:val="24"/>
          <w:lang w:val="es-EC"/>
        </w:rPr>
        <w:footnoteReference w:id="1"/>
      </w:r>
    </w:p>
    <w:p w14:paraId="7A4F02F6" w14:textId="77777777" w:rsidR="00C15B6B" w:rsidRDefault="00000000">
      <w:pPr>
        <w:pStyle w:val="Sinespaciado"/>
        <w:spacing w:line="360" w:lineRule="auto"/>
        <w:ind w:left="426"/>
        <w:rPr>
          <w:rFonts w:ascii="Times New Roman" w:hAnsi="Times New Roman" w:cs="Times New Roman"/>
          <w:i/>
          <w:iCs/>
          <w:sz w:val="24"/>
          <w:szCs w:val="24"/>
          <w:lang w:val="es-EC"/>
        </w:rPr>
      </w:pPr>
      <w:r>
        <w:rPr>
          <w:rFonts w:ascii="Times New Roman" w:hAnsi="Times New Roman" w:cs="Times New Roman"/>
          <w:i/>
          <w:iCs/>
          <w:sz w:val="24"/>
          <w:szCs w:val="24"/>
          <w:lang w:val="es-EC"/>
        </w:rPr>
        <w:t xml:space="preserve">Correo: </w:t>
      </w:r>
      <w:hyperlink r:id="rId7" w:history="1">
        <w:r>
          <w:rPr>
            <w:rStyle w:val="Hipervnculo"/>
            <w:rFonts w:ascii="Times New Roman" w:hAnsi="Times New Roman" w:cs="Times New Roman"/>
            <w:i/>
            <w:iCs/>
            <w:sz w:val="24"/>
            <w:szCs w:val="24"/>
            <w:lang w:val="es-EC"/>
          </w:rPr>
          <w:t>luisag.ramirez@gmail.com</w:t>
        </w:r>
      </w:hyperlink>
    </w:p>
    <w:p w14:paraId="44319EFD" w14:textId="77777777" w:rsidR="00C15B6B" w:rsidRDefault="00000000">
      <w:pPr>
        <w:pStyle w:val="Sinespaciado"/>
        <w:spacing w:line="360" w:lineRule="auto"/>
        <w:ind w:left="426"/>
        <w:rPr>
          <w:rFonts w:ascii="Times New Roman" w:hAnsi="Times New Roman" w:cs="Times New Roman"/>
          <w:sz w:val="24"/>
          <w:szCs w:val="24"/>
          <w:lang w:val="es-EC"/>
        </w:rPr>
      </w:pPr>
      <w:proofErr w:type="spellStart"/>
      <w:r>
        <w:rPr>
          <w:rFonts w:ascii="Times New Roman" w:hAnsi="Times New Roman" w:cs="Times New Roman"/>
          <w:i/>
          <w:iCs/>
          <w:sz w:val="24"/>
          <w:szCs w:val="24"/>
          <w:lang w:val="es-EC"/>
        </w:rPr>
        <w:t>Orcid</w:t>
      </w:r>
      <w:proofErr w:type="spellEnd"/>
      <w:r>
        <w:rPr>
          <w:rFonts w:ascii="Times New Roman" w:hAnsi="Times New Roman" w:cs="Times New Roman"/>
          <w:i/>
          <w:iCs/>
          <w:sz w:val="24"/>
          <w:szCs w:val="24"/>
          <w:lang w:val="es-EC"/>
        </w:rPr>
        <w:t xml:space="preserve">: </w:t>
      </w:r>
      <w:hyperlink r:id="rId8" w:history="1">
        <w:r>
          <w:rPr>
            <w:rStyle w:val="Hipervnculo"/>
            <w:rFonts w:ascii="Times New Roman" w:hAnsi="Times New Roman" w:cs="Times New Roman"/>
            <w:i/>
            <w:iCs/>
            <w:sz w:val="24"/>
            <w:szCs w:val="24"/>
            <w:lang w:val="es-EC"/>
          </w:rPr>
          <w:t>https://orcid.org/0009-0005-0928-194X</w:t>
        </w:r>
      </w:hyperlink>
    </w:p>
    <w:p w14:paraId="3EAD210F" w14:textId="77777777" w:rsidR="00C15B6B" w:rsidRDefault="00000000">
      <w:pPr>
        <w:pStyle w:val="Sinespaciado"/>
        <w:spacing w:line="360" w:lineRule="auto"/>
        <w:ind w:left="426"/>
        <w:rPr>
          <w:rFonts w:ascii="Times New Roman" w:hAnsi="Times New Roman" w:cs="Times New Roman"/>
          <w:sz w:val="24"/>
          <w:szCs w:val="24"/>
          <w:lang w:val="es-EC"/>
        </w:rPr>
      </w:pPr>
      <w:r>
        <w:rPr>
          <w:rFonts w:ascii="Times New Roman" w:hAnsi="Times New Roman" w:cs="Times New Roman"/>
          <w:sz w:val="24"/>
          <w:szCs w:val="24"/>
          <w:lang w:val="es-EC"/>
        </w:rPr>
        <w:t>Unidad Educativa Fiscal Atahualpa, Ecuador</w:t>
      </w:r>
    </w:p>
    <w:p w14:paraId="12DA0B6D" w14:textId="77777777" w:rsidR="00C15B6B" w:rsidRDefault="00C15B6B">
      <w:pPr>
        <w:pStyle w:val="Sinespaciado"/>
        <w:spacing w:line="360" w:lineRule="auto"/>
        <w:ind w:left="426"/>
        <w:rPr>
          <w:rFonts w:ascii="Times New Roman" w:hAnsi="Times New Roman" w:cs="Times New Roman"/>
          <w:sz w:val="24"/>
          <w:szCs w:val="24"/>
          <w:lang w:val="es-EC"/>
        </w:rPr>
      </w:pPr>
    </w:p>
    <w:p w14:paraId="51F5194E" w14:textId="77777777" w:rsidR="00C15B6B" w:rsidRDefault="00000000">
      <w:pPr>
        <w:pStyle w:val="Sinespaciado"/>
        <w:spacing w:line="360" w:lineRule="auto"/>
        <w:ind w:left="426"/>
        <w:rPr>
          <w:rFonts w:ascii="Times New Roman" w:hAnsi="Times New Roman" w:cs="Times New Roman"/>
          <w:sz w:val="24"/>
          <w:szCs w:val="24"/>
          <w:lang w:val="es-EC"/>
        </w:rPr>
      </w:pPr>
      <w:r>
        <w:rPr>
          <w:rFonts w:ascii="Times New Roman" w:hAnsi="Times New Roman" w:cs="Times New Roman"/>
          <w:sz w:val="24"/>
          <w:szCs w:val="24"/>
          <w:lang w:val="es-EC"/>
        </w:rPr>
        <w:t>Julio Felipe García Herrera</w:t>
      </w:r>
      <w:r>
        <w:rPr>
          <w:rStyle w:val="Refdenotaalpie"/>
          <w:rFonts w:ascii="Times New Roman" w:hAnsi="Times New Roman" w:cs="Times New Roman"/>
          <w:sz w:val="24"/>
          <w:szCs w:val="24"/>
          <w:lang w:val="es-EC"/>
        </w:rPr>
        <w:footnoteReference w:id="2"/>
      </w:r>
    </w:p>
    <w:p w14:paraId="42D8B4D4" w14:textId="77777777" w:rsidR="00C15B6B" w:rsidRDefault="00000000">
      <w:pPr>
        <w:pStyle w:val="Sinespaciado"/>
        <w:spacing w:line="360" w:lineRule="auto"/>
        <w:ind w:left="426"/>
        <w:rPr>
          <w:rFonts w:ascii="Times New Roman" w:hAnsi="Times New Roman" w:cs="Times New Roman"/>
          <w:i/>
          <w:iCs/>
          <w:sz w:val="24"/>
          <w:szCs w:val="24"/>
          <w:lang w:val="es-EC"/>
        </w:rPr>
      </w:pPr>
      <w:r>
        <w:rPr>
          <w:rFonts w:ascii="Times New Roman" w:hAnsi="Times New Roman" w:cs="Times New Roman"/>
          <w:i/>
          <w:iCs/>
          <w:sz w:val="24"/>
          <w:szCs w:val="24"/>
          <w:lang w:val="es-EC"/>
        </w:rPr>
        <w:t xml:space="preserve">Correo: </w:t>
      </w:r>
      <w:hyperlink r:id="rId9" w:history="1">
        <w:r>
          <w:rPr>
            <w:rStyle w:val="Hipervnculo"/>
            <w:rFonts w:ascii="Times New Roman" w:hAnsi="Times New Roman" w:cs="Times New Roman"/>
            <w:i/>
            <w:iCs/>
            <w:sz w:val="24"/>
            <w:szCs w:val="24"/>
            <w:lang w:val="es-EC"/>
          </w:rPr>
          <w:t>juliofgh@ucpejv.edu.cu</w:t>
        </w:r>
      </w:hyperlink>
    </w:p>
    <w:p w14:paraId="0E9E0DA6" w14:textId="77777777" w:rsidR="00C15B6B" w:rsidRDefault="00000000">
      <w:pPr>
        <w:pStyle w:val="Sinespaciado"/>
        <w:spacing w:line="360" w:lineRule="auto"/>
        <w:ind w:left="426"/>
        <w:rPr>
          <w:rFonts w:ascii="Times New Roman" w:hAnsi="Times New Roman" w:cs="Times New Roman"/>
          <w:sz w:val="24"/>
          <w:szCs w:val="24"/>
          <w:lang w:val="es-EC"/>
        </w:rPr>
      </w:pPr>
      <w:proofErr w:type="spellStart"/>
      <w:r>
        <w:rPr>
          <w:rFonts w:ascii="Times New Roman" w:hAnsi="Times New Roman" w:cs="Times New Roman"/>
          <w:i/>
          <w:iCs/>
          <w:sz w:val="24"/>
          <w:szCs w:val="24"/>
          <w:lang w:val="es-EC"/>
        </w:rPr>
        <w:t>Orcid</w:t>
      </w:r>
      <w:proofErr w:type="spellEnd"/>
      <w:r>
        <w:rPr>
          <w:rFonts w:ascii="Times New Roman" w:hAnsi="Times New Roman" w:cs="Times New Roman"/>
          <w:i/>
          <w:iCs/>
          <w:sz w:val="24"/>
          <w:szCs w:val="24"/>
          <w:lang w:val="es-EC"/>
        </w:rPr>
        <w:t xml:space="preserve">: </w:t>
      </w:r>
      <w:hyperlink r:id="rId10" w:history="1">
        <w:r>
          <w:rPr>
            <w:rStyle w:val="Hipervnculo"/>
            <w:rFonts w:ascii="Times New Roman" w:hAnsi="Times New Roman" w:cs="Times New Roman"/>
            <w:i/>
            <w:iCs/>
            <w:sz w:val="24"/>
            <w:szCs w:val="24"/>
            <w:lang w:val="es-EC"/>
          </w:rPr>
          <w:t>https://orcid.org/0000-0002-4688-5831</w:t>
        </w:r>
      </w:hyperlink>
    </w:p>
    <w:p w14:paraId="607E4A9B" w14:textId="77777777" w:rsidR="00C15B6B" w:rsidRDefault="00000000">
      <w:pPr>
        <w:pStyle w:val="Sinespaciado"/>
        <w:spacing w:line="360" w:lineRule="auto"/>
        <w:ind w:left="426"/>
        <w:rPr>
          <w:rFonts w:ascii="Times New Roman" w:hAnsi="Times New Roman" w:cs="Times New Roman"/>
          <w:sz w:val="24"/>
          <w:szCs w:val="24"/>
          <w:lang w:val="es-EC"/>
        </w:rPr>
      </w:pPr>
      <w:r>
        <w:rPr>
          <w:rFonts w:ascii="Times New Roman" w:hAnsi="Times New Roman" w:cs="Times New Roman"/>
          <w:sz w:val="24"/>
          <w:szCs w:val="24"/>
          <w:lang w:val="es-EC"/>
        </w:rPr>
        <w:t>Universidad de Ciencias Pedagógicas “Enrique José Varona”, Cuba</w:t>
      </w:r>
    </w:p>
    <w:p w14:paraId="68010A14" w14:textId="77777777" w:rsidR="00C15B6B" w:rsidRDefault="00C15B6B">
      <w:pPr>
        <w:pStyle w:val="Sinespaciado"/>
        <w:spacing w:line="360" w:lineRule="auto"/>
        <w:rPr>
          <w:rFonts w:ascii="Times New Roman" w:hAnsi="Times New Roman" w:cs="Times New Roman"/>
          <w:sz w:val="24"/>
          <w:szCs w:val="24"/>
          <w:lang w:val="es-EC"/>
        </w:rPr>
      </w:pPr>
    </w:p>
    <w:tbl>
      <w:tblPr>
        <w:tblStyle w:val="Tablaconcuadrcula2"/>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C15B6B" w14:paraId="370655E0" w14:textId="77777777">
        <w:trPr>
          <w:trHeight w:val="149"/>
        </w:trPr>
        <w:tc>
          <w:tcPr>
            <w:tcW w:w="2942" w:type="dxa"/>
            <w:shd w:val="clear" w:color="auto" w:fill="00B0F0"/>
          </w:tcPr>
          <w:p w14:paraId="0AEC7F14" w14:textId="77777777" w:rsidR="00C15B6B" w:rsidRDefault="00000000">
            <w:pPr>
              <w:widowControl w:val="0"/>
              <w:spacing w:before="0" w:after="120"/>
              <w:jc w:val="center"/>
              <w:rPr>
                <w:rFonts w:eastAsia="Calibri" w:cs="Times New Roman"/>
                <w:b/>
                <w:kern w:val="0"/>
                <w:sz w:val="22"/>
                <w:szCs w:val="24"/>
                <w:lang w:val="es-EC"/>
                <w14:ligatures w14:val="none"/>
              </w:rPr>
            </w:pPr>
            <w:r>
              <w:rPr>
                <w:rFonts w:eastAsia="Calibri" w:cs="Times New Roman"/>
                <w:b/>
                <w:kern w:val="0"/>
                <w:sz w:val="22"/>
                <w:szCs w:val="24"/>
                <w:lang w:val="es-EC"/>
                <w14:ligatures w14:val="none"/>
              </w:rPr>
              <w:t>Recibido</w:t>
            </w:r>
          </w:p>
        </w:tc>
        <w:tc>
          <w:tcPr>
            <w:tcW w:w="2943" w:type="dxa"/>
            <w:shd w:val="clear" w:color="auto" w:fill="00B0F0"/>
          </w:tcPr>
          <w:p w14:paraId="2DD3E5A1" w14:textId="77777777" w:rsidR="00C15B6B" w:rsidRDefault="00000000">
            <w:pPr>
              <w:widowControl w:val="0"/>
              <w:spacing w:before="0" w:after="120"/>
              <w:jc w:val="center"/>
              <w:rPr>
                <w:rFonts w:eastAsia="Calibri" w:cs="Times New Roman"/>
                <w:b/>
                <w:kern w:val="0"/>
                <w:sz w:val="22"/>
                <w:szCs w:val="24"/>
                <w:lang w:val="es-EC"/>
                <w14:ligatures w14:val="none"/>
              </w:rPr>
            </w:pPr>
            <w:r>
              <w:rPr>
                <w:rFonts w:eastAsia="Calibri" w:cs="Times New Roman"/>
                <w:b/>
                <w:kern w:val="0"/>
                <w:sz w:val="22"/>
                <w:szCs w:val="24"/>
                <w:lang w:val="es-EC"/>
                <w14:ligatures w14:val="none"/>
              </w:rPr>
              <w:t>Aprobado</w:t>
            </w:r>
          </w:p>
        </w:tc>
        <w:tc>
          <w:tcPr>
            <w:tcW w:w="2943" w:type="dxa"/>
            <w:shd w:val="clear" w:color="auto" w:fill="00B0F0"/>
          </w:tcPr>
          <w:p w14:paraId="351D1047" w14:textId="77777777" w:rsidR="00C15B6B" w:rsidRDefault="00000000">
            <w:pPr>
              <w:widowControl w:val="0"/>
              <w:spacing w:before="0" w:after="120"/>
              <w:jc w:val="center"/>
              <w:rPr>
                <w:rFonts w:eastAsia="Calibri" w:cs="Times New Roman"/>
                <w:b/>
                <w:kern w:val="0"/>
                <w:sz w:val="22"/>
                <w:szCs w:val="24"/>
                <w:lang w:val="es-EC"/>
                <w14:ligatures w14:val="none"/>
              </w:rPr>
            </w:pPr>
            <w:r>
              <w:rPr>
                <w:rFonts w:eastAsia="Calibri" w:cs="Times New Roman"/>
                <w:b/>
                <w:kern w:val="0"/>
                <w:sz w:val="22"/>
                <w:szCs w:val="24"/>
                <w:lang w:val="es-EC"/>
                <w14:ligatures w14:val="none"/>
              </w:rPr>
              <w:t>Publicado</w:t>
            </w:r>
          </w:p>
        </w:tc>
      </w:tr>
      <w:tr w:rsidR="00C15B6B" w14:paraId="2412688C" w14:textId="77777777">
        <w:tc>
          <w:tcPr>
            <w:tcW w:w="2942" w:type="dxa"/>
          </w:tcPr>
          <w:p w14:paraId="0919434D" w14:textId="77777777" w:rsidR="00C15B6B" w:rsidRDefault="00000000">
            <w:pPr>
              <w:widowControl w:val="0"/>
              <w:spacing w:before="0" w:after="120"/>
              <w:jc w:val="center"/>
              <w:rPr>
                <w:rFonts w:eastAsia="Calibri" w:cs="Times New Roman"/>
                <w:kern w:val="0"/>
                <w:sz w:val="22"/>
                <w:szCs w:val="24"/>
                <w:lang w:val="es-EC"/>
                <w14:ligatures w14:val="none"/>
              </w:rPr>
            </w:pPr>
            <w:r>
              <w:rPr>
                <w:rFonts w:eastAsia="Calibri" w:cs="Times New Roman"/>
                <w:kern w:val="0"/>
                <w:sz w:val="22"/>
                <w:szCs w:val="24"/>
                <w:lang w:val="es-EC"/>
                <w14:ligatures w14:val="none"/>
              </w:rPr>
              <w:t>8 de marzo de 2025</w:t>
            </w:r>
          </w:p>
        </w:tc>
        <w:tc>
          <w:tcPr>
            <w:tcW w:w="2943" w:type="dxa"/>
          </w:tcPr>
          <w:p w14:paraId="29379B0B" w14:textId="77777777" w:rsidR="00C15B6B" w:rsidRDefault="00000000">
            <w:pPr>
              <w:widowControl w:val="0"/>
              <w:spacing w:before="0" w:after="120"/>
              <w:jc w:val="center"/>
              <w:rPr>
                <w:rFonts w:eastAsia="Calibri" w:cs="Times New Roman"/>
                <w:kern w:val="0"/>
                <w:sz w:val="22"/>
                <w:szCs w:val="24"/>
                <w:lang w:val="es-EC"/>
                <w14:ligatures w14:val="none"/>
              </w:rPr>
            </w:pPr>
            <w:r>
              <w:rPr>
                <w:rFonts w:eastAsia="Calibri" w:cs="Times New Roman"/>
                <w:kern w:val="0"/>
                <w:sz w:val="22"/>
                <w:szCs w:val="24"/>
                <w:lang w:val="es-EC"/>
                <w14:ligatures w14:val="none"/>
              </w:rPr>
              <w:t>9 de abril de 2025</w:t>
            </w:r>
          </w:p>
        </w:tc>
        <w:tc>
          <w:tcPr>
            <w:tcW w:w="2943" w:type="dxa"/>
          </w:tcPr>
          <w:p w14:paraId="5543C611" w14:textId="77777777" w:rsidR="00C15B6B" w:rsidRDefault="00000000">
            <w:pPr>
              <w:widowControl w:val="0"/>
              <w:spacing w:before="0" w:after="120"/>
              <w:jc w:val="center"/>
              <w:rPr>
                <w:rFonts w:eastAsia="Calibri" w:cs="Times New Roman"/>
                <w:kern w:val="0"/>
                <w:sz w:val="22"/>
                <w:szCs w:val="24"/>
                <w:lang w:val="es-EC"/>
                <w14:ligatures w14:val="none"/>
              </w:rPr>
            </w:pPr>
            <w:r>
              <w:rPr>
                <w:rFonts w:eastAsia="Calibri" w:cs="Times New Roman"/>
                <w:kern w:val="0"/>
                <w:sz w:val="22"/>
                <w:szCs w:val="24"/>
                <w:lang w:val="es-EC"/>
                <w14:ligatures w14:val="none"/>
              </w:rPr>
              <w:t>10 de mayo de 2025</w:t>
            </w:r>
          </w:p>
        </w:tc>
      </w:tr>
    </w:tbl>
    <w:p w14:paraId="71418BB0" w14:textId="77777777" w:rsidR="00C15B6B" w:rsidRDefault="00C15B6B">
      <w:pPr>
        <w:pStyle w:val="Sinespaciado"/>
        <w:rPr>
          <w:rFonts w:ascii="Times New Roman" w:hAnsi="Times New Roman" w:cs="Times New Roman"/>
          <w:b/>
          <w:bCs/>
          <w:sz w:val="24"/>
          <w:szCs w:val="24"/>
          <w:lang w:val="es-EC"/>
        </w:rPr>
      </w:pPr>
    </w:p>
    <w:p w14:paraId="7A98CE0E" w14:textId="77777777" w:rsidR="00C15B6B" w:rsidRDefault="00C15B6B">
      <w:pPr>
        <w:pStyle w:val="Sinespaciado"/>
        <w:rPr>
          <w:rFonts w:ascii="Times New Roman" w:hAnsi="Times New Roman" w:cs="Times New Roman"/>
          <w:b/>
          <w:bCs/>
          <w:sz w:val="24"/>
          <w:szCs w:val="24"/>
          <w:lang w:val="es-EC"/>
        </w:rPr>
      </w:pPr>
    </w:p>
    <w:p w14:paraId="5325D74F" w14:textId="77777777" w:rsidR="00C15B6B" w:rsidRDefault="00C15B6B">
      <w:pPr>
        <w:pStyle w:val="Sinespaciado"/>
        <w:rPr>
          <w:rFonts w:ascii="Times New Roman" w:hAnsi="Times New Roman" w:cs="Times New Roman"/>
          <w:b/>
          <w:bCs/>
          <w:sz w:val="24"/>
          <w:szCs w:val="24"/>
          <w:lang w:val="es-EC"/>
        </w:rPr>
      </w:pPr>
    </w:p>
    <w:p w14:paraId="6DC1E503" w14:textId="77777777" w:rsidR="00C15B6B" w:rsidRDefault="00C15B6B">
      <w:pPr>
        <w:pStyle w:val="Sinespaciado"/>
        <w:rPr>
          <w:rFonts w:ascii="Times New Roman" w:hAnsi="Times New Roman" w:cs="Times New Roman"/>
          <w:b/>
          <w:bCs/>
          <w:sz w:val="24"/>
          <w:szCs w:val="24"/>
          <w:lang w:val="es-EC"/>
        </w:rPr>
      </w:pPr>
    </w:p>
    <w:p w14:paraId="427B92D6" w14:textId="77777777" w:rsidR="00C15B6B" w:rsidRDefault="00C15B6B">
      <w:pPr>
        <w:pStyle w:val="Sinespaciado"/>
        <w:rPr>
          <w:rFonts w:ascii="Times New Roman" w:hAnsi="Times New Roman" w:cs="Times New Roman"/>
          <w:b/>
          <w:bCs/>
          <w:sz w:val="24"/>
          <w:szCs w:val="24"/>
          <w:lang w:val="es-EC"/>
        </w:rPr>
      </w:pPr>
    </w:p>
    <w:p w14:paraId="19BCE134" w14:textId="77777777" w:rsidR="00174BA9" w:rsidRDefault="00174BA9">
      <w:pPr>
        <w:pStyle w:val="Sinespaciado"/>
        <w:rPr>
          <w:rFonts w:ascii="Times New Roman" w:hAnsi="Times New Roman" w:cs="Times New Roman"/>
          <w:b/>
          <w:bCs/>
          <w:sz w:val="24"/>
          <w:szCs w:val="24"/>
          <w:lang w:val="es-EC"/>
        </w:rPr>
      </w:pPr>
    </w:p>
    <w:p w14:paraId="7E1849F9" w14:textId="77777777" w:rsidR="00174BA9" w:rsidRDefault="00174BA9">
      <w:pPr>
        <w:pStyle w:val="Sinespaciado"/>
        <w:rPr>
          <w:rFonts w:ascii="Times New Roman" w:hAnsi="Times New Roman" w:cs="Times New Roman"/>
          <w:b/>
          <w:bCs/>
          <w:sz w:val="24"/>
          <w:szCs w:val="24"/>
          <w:lang w:val="es-EC"/>
        </w:rPr>
      </w:pPr>
    </w:p>
    <w:p w14:paraId="04DADD9B" w14:textId="77777777" w:rsidR="00C15B6B" w:rsidRDefault="00000000">
      <w:pPr>
        <w:pStyle w:val="Sinespaciado"/>
        <w:rPr>
          <w:rFonts w:ascii="Times New Roman" w:hAnsi="Times New Roman" w:cs="Times New Roman"/>
          <w:sz w:val="24"/>
          <w:szCs w:val="24"/>
          <w:lang w:val="es-EC"/>
        </w:rPr>
      </w:pPr>
      <w:r>
        <w:rPr>
          <w:rFonts w:ascii="Times New Roman" w:hAnsi="Times New Roman" w:cs="Times New Roman"/>
          <w:b/>
          <w:bCs/>
          <w:sz w:val="24"/>
          <w:szCs w:val="24"/>
          <w:lang w:val="es-EC"/>
        </w:rPr>
        <w:lastRenderedPageBreak/>
        <w:t>RESUMEN</w:t>
      </w:r>
    </w:p>
    <w:p w14:paraId="5B74386E" w14:textId="77777777" w:rsidR="00C15B6B" w:rsidRDefault="00000000">
      <w:pPr>
        <w:jc w:val="both"/>
        <w:rPr>
          <w:rFonts w:cs="Times New Roman"/>
          <w:szCs w:val="24"/>
          <w:lang w:val="es-EC"/>
        </w:rPr>
      </w:pPr>
      <w:bookmarkStart w:id="0" w:name="_Hlk195547650"/>
      <w:bookmarkStart w:id="1" w:name="_Hlk195544219"/>
      <w:r>
        <w:rPr>
          <w:rFonts w:cs="Times New Roman"/>
          <w:szCs w:val="24"/>
          <w:lang w:val="es-EC"/>
        </w:rPr>
        <w:t xml:space="preserve">El objetivo de la tesis “La inteligencia lógico-matemática en la resolución de problemas en los estudiantes de segundo de bachillerato” es presentar estrategias didácticas para desarrollar la inteligencia lógico-matemática en los estudiantes para mejorar su capacidad de resolver problemas teniendo en cuenta las dificultades encontradas en la asignatura de matemáticas, en la Unidad Educativa Fiscal Atahualpa, donde más del 50% de los estudiantes obtuvieron insuficientes resultados. Se realizó un diagnóstico inicial de habilidades lógico-matemáticas en estudiantes, ¡desarrollando una propuesta didáctica constructivista que incluye talleres, juegos matemáticos y proyectos integradores, utilizando recursos tecnológicos como </w:t>
      </w:r>
      <w:proofErr w:type="spellStart"/>
      <w:r>
        <w:rPr>
          <w:rFonts w:cs="Times New Roman"/>
          <w:szCs w:val="24"/>
          <w:lang w:val="es-EC"/>
        </w:rPr>
        <w:t>Kahoot</w:t>
      </w:r>
      <w:proofErr w:type="spellEnd"/>
      <w:r>
        <w:rPr>
          <w:rFonts w:cs="Times New Roman"/>
          <w:szCs w:val="24"/>
          <w:lang w:val="es-EC"/>
        </w:rPr>
        <w:t xml:space="preserve">! y </w:t>
      </w:r>
      <w:proofErr w:type="spellStart"/>
      <w:r>
        <w:rPr>
          <w:rFonts w:cs="Times New Roman"/>
          <w:szCs w:val="24"/>
          <w:lang w:val="es-EC"/>
        </w:rPr>
        <w:t>Geogebra</w:t>
      </w:r>
      <w:proofErr w:type="spellEnd"/>
      <w:r>
        <w:rPr>
          <w:rFonts w:cs="Times New Roman"/>
          <w:szCs w:val="24"/>
          <w:lang w:val="es-EC"/>
        </w:rPr>
        <w:t xml:space="preserve">, esta intervención fue aplicada a un grupo experimental de 49 estudiantes de segundo de Bachillerato en ciencias, mientras que a un grupo de control conformado por 49 estudiantes de segundo de Bachillerato en técnico no recibió la </w:t>
      </w:r>
      <w:proofErr w:type="spellStart"/>
      <w:r>
        <w:rPr>
          <w:rFonts w:cs="Times New Roman"/>
          <w:szCs w:val="24"/>
          <w:lang w:val="es-EC"/>
        </w:rPr>
        <w:t>propuesta.Los</w:t>
      </w:r>
      <w:proofErr w:type="spellEnd"/>
      <w:r>
        <w:rPr>
          <w:rFonts w:cs="Times New Roman"/>
          <w:szCs w:val="24"/>
          <w:lang w:val="es-EC"/>
        </w:rPr>
        <w:t xml:space="preserve"> resultados, medidos a través de pruebas estandarizadas, revelaron una afectación positiva de la intervención en el desempeño del grupo experimental, con una media de 8,43 frente a 5,60 del grupo de comparación. Con ello, se ratifica la efectividad de las estrategias didácticas aquí propuestas y su impacto como inductoras del desarrollo de la inteligencia lógico-matemática y la resolución de problemas en contextos educativos afines</w:t>
      </w:r>
      <w:bookmarkEnd w:id="0"/>
      <w:r>
        <w:rPr>
          <w:rFonts w:cs="Times New Roman"/>
          <w:szCs w:val="24"/>
          <w:lang w:val="es-EC"/>
        </w:rPr>
        <w:t>.</w:t>
      </w:r>
    </w:p>
    <w:bookmarkEnd w:id="1"/>
    <w:p w14:paraId="14A5CBD9" w14:textId="77777777" w:rsidR="00C15B6B" w:rsidRDefault="00000000">
      <w:pPr>
        <w:jc w:val="both"/>
        <w:rPr>
          <w:rFonts w:cs="Times New Roman"/>
          <w:szCs w:val="24"/>
          <w:lang w:val="es-EC"/>
        </w:rPr>
      </w:pPr>
      <w:r>
        <w:rPr>
          <w:rFonts w:cs="Times New Roman"/>
          <w:i/>
          <w:iCs/>
          <w:szCs w:val="24"/>
          <w:lang w:val="es-EC"/>
        </w:rPr>
        <w:t>Palabras clave:</w:t>
      </w:r>
      <w:r>
        <w:rPr>
          <w:rFonts w:cs="Times New Roman"/>
          <w:szCs w:val="24"/>
          <w:lang w:val="es-EC"/>
        </w:rPr>
        <w:t xml:space="preserve"> Inteligencia Lógico-matemática, resolución de problemas, educación matemática, estrategias didácticas, enfoque constructivista.</w:t>
      </w:r>
    </w:p>
    <w:p w14:paraId="378A0F49" w14:textId="77777777" w:rsidR="00C15B6B" w:rsidRDefault="00000000">
      <w:pPr>
        <w:jc w:val="both"/>
        <w:rPr>
          <w:rFonts w:cs="Times New Roman"/>
          <w:b/>
          <w:bCs/>
          <w:szCs w:val="24"/>
        </w:rPr>
      </w:pPr>
      <w:r>
        <w:rPr>
          <w:rFonts w:cs="Times New Roman"/>
          <w:b/>
          <w:bCs/>
          <w:szCs w:val="24"/>
        </w:rPr>
        <w:t>Abstract</w:t>
      </w:r>
    </w:p>
    <w:p w14:paraId="467939FD" w14:textId="77777777" w:rsidR="00C15B6B" w:rsidRDefault="00000000">
      <w:pPr>
        <w:jc w:val="both"/>
        <w:rPr>
          <w:rFonts w:cs="Times New Roman"/>
          <w:szCs w:val="24"/>
        </w:rPr>
      </w:pPr>
      <w:r>
        <w:rPr>
          <w:rFonts w:cs="Times New Roman"/>
          <w:szCs w:val="24"/>
        </w:rPr>
        <w:t xml:space="preserve">The objective of the thesis "Logical-mathematical intelligence in problem-solving among second-year high school students" is to present teaching strategies for developing logical-mathematical intelligence in students to improve their problem-solving skills, taking into account the difficulties encountered in the </w:t>
      </w:r>
      <w:r>
        <w:rPr>
          <w:rFonts w:cs="Times New Roman"/>
          <w:szCs w:val="24"/>
        </w:rPr>
        <w:lastRenderedPageBreak/>
        <w:t xml:space="preserve">subject of mathematics at the Atahualpa Fiscal Educational Unit, where more than 50% of students obtained insufficient results. An initial assessment of students' logical-mathematical skills was conducted, developing a constructivist teaching approach that included workshops, math games, and integrative projects using technological resources such as Kahoot! and </w:t>
      </w:r>
      <w:proofErr w:type="spellStart"/>
      <w:r>
        <w:rPr>
          <w:rFonts w:cs="Times New Roman"/>
          <w:szCs w:val="24"/>
        </w:rPr>
        <w:t>Geogebra</w:t>
      </w:r>
      <w:proofErr w:type="spellEnd"/>
      <w:r>
        <w:rPr>
          <w:rFonts w:cs="Times New Roman"/>
          <w:szCs w:val="24"/>
        </w:rPr>
        <w:t>. This intervention was applied to an experimental group of 49 second-year science students, while a control group of 49 second-year technical students did not receive the approach. The results, measured through standardized tests, revealed a positive impact of the intervention on the performance of the experimental group, with a mean score of 8.43 versus 5.60 for the comparison group. This confirms the effectiveness of the teaching strategies proposed here and their impact as inducers of the development of logical-mathematical intelligence and problem-solving in related educational contexts.</w:t>
      </w:r>
    </w:p>
    <w:p w14:paraId="33B269EA" w14:textId="77777777" w:rsidR="00C15B6B" w:rsidRDefault="00000000">
      <w:pPr>
        <w:jc w:val="both"/>
        <w:rPr>
          <w:rFonts w:cs="Times New Roman"/>
          <w:szCs w:val="24"/>
        </w:rPr>
      </w:pPr>
      <w:r>
        <w:rPr>
          <w:rFonts w:cs="Times New Roman"/>
          <w:i/>
          <w:iCs/>
          <w:szCs w:val="24"/>
        </w:rPr>
        <w:t>Keywords:</w:t>
      </w:r>
      <w:r>
        <w:rPr>
          <w:rFonts w:cs="Times New Roman"/>
          <w:szCs w:val="24"/>
        </w:rPr>
        <w:t xml:space="preserve"> Logical-mathematical intelligence, problem solving, mathematics education, teaching strategies, constructivist approach.</w:t>
      </w:r>
    </w:p>
    <w:p w14:paraId="5E960907" w14:textId="77777777" w:rsidR="00C15B6B" w:rsidRDefault="00000000">
      <w:pPr>
        <w:jc w:val="center"/>
        <w:rPr>
          <w:rFonts w:cs="Times New Roman"/>
          <w:b/>
          <w:bCs/>
          <w:szCs w:val="24"/>
          <w:lang w:val="es-EC"/>
        </w:rPr>
      </w:pPr>
      <w:r>
        <w:rPr>
          <w:rFonts w:cs="Times New Roman"/>
          <w:b/>
          <w:bCs/>
          <w:szCs w:val="24"/>
          <w:lang w:val="es-EC"/>
        </w:rPr>
        <w:t>INTRODUCCIÓN</w:t>
      </w:r>
    </w:p>
    <w:p w14:paraId="3CE53546" w14:textId="77777777" w:rsidR="00C15B6B" w:rsidRDefault="00000000">
      <w:pPr>
        <w:jc w:val="both"/>
        <w:rPr>
          <w:rFonts w:cs="Times New Roman"/>
          <w:szCs w:val="24"/>
          <w:lang w:val="es-EC"/>
        </w:rPr>
      </w:pPr>
      <w:r>
        <w:rPr>
          <w:rFonts w:cs="Times New Roman"/>
          <w:szCs w:val="24"/>
          <w:lang w:val="es-EC"/>
        </w:rPr>
        <w:t xml:space="preserve">La educación matemática en el Ecuador enfrentó desafíos significativos en el fortalecimiento de habilidades analíticas y prácticas entre los estudiantes, particularmente en el ámbito de la resolución de problemas. En este contexto, la inteligencia lógico-matemática emergió como un pilar fundamental para el desarrollo cognitivo y académico, pero su cultivo presentó dificultades en los entornos educativos, especialmente en estudiantes de nivel secundario. </w:t>
      </w:r>
    </w:p>
    <w:p w14:paraId="40398F34" w14:textId="77777777" w:rsidR="00C15B6B" w:rsidRDefault="00000000">
      <w:pPr>
        <w:jc w:val="both"/>
        <w:rPr>
          <w:rFonts w:cs="Times New Roman"/>
          <w:szCs w:val="24"/>
          <w:lang w:val="es-EC"/>
        </w:rPr>
      </w:pPr>
      <w:r>
        <w:rPr>
          <w:rFonts w:cs="Times New Roman"/>
          <w:szCs w:val="24"/>
          <w:lang w:val="es-EC"/>
        </w:rPr>
        <w:t xml:space="preserve">La presente investigación se centró en explorar cómo esta inteligencia influía en la capacidad de resolver problemas matemáticos, un aspecto crítico para el éxito académico y la preparación para desafíos profesionales futuros. El estudio se justificó por la necesidad de comprender y potenciar dicha </w:t>
      </w:r>
      <w:r>
        <w:rPr>
          <w:rFonts w:cs="Times New Roman"/>
          <w:szCs w:val="24"/>
          <w:lang w:val="es-EC"/>
        </w:rPr>
        <w:lastRenderedPageBreak/>
        <w:t>inteligencia en un momento clave de la formación estudiantil, cuando las bases para estudios superiores y decisiones vocacionales comenzaban a consolidarse.</w:t>
      </w:r>
    </w:p>
    <w:p w14:paraId="7B379062" w14:textId="77777777" w:rsidR="00C15B6B" w:rsidRDefault="00000000">
      <w:pPr>
        <w:jc w:val="both"/>
        <w:rPr>
          <w:lang w:val="es-EC"/>
        </w:rPr>
      </w:pPr>
      <w:r>
        <w:rPr>
          <w:rFonts w:cs="Times New Roman"/>
          <w:szCs w:val="24"/>
          <w:lang w:val="es-EC"/>
        </w:rPr>
        <w:t>La relevancia del tema radicó en su impacto directo sobre el rendimiento escolar y su proyección hacia contextos más amplios. La inteligencia lógico-matemática no solo facilitó el dominio de conceptos matemáticos, sino que también fomentó competencias transferibles</w:t>
      </w:r>
      <w:r>
        <w:rPr>
          <w:lang w:val="es-EC"/>
        </w:rPr>
        <w:t>, las mismas que permiten a los estudiantes abordar desafíos en contextos cotidianos, como la gestión financiera personal, y laborales, como la optimización de recursos en entornos profesionales, preparando a los jóvenes para enfrentar problemas complejos en disciplinas STEM y en la vida diaria.</w:t>
      </w:r>
    </w:p>
    <w:p w14:paraId="1DAAFF48" w14:textId="77777777" w:rsidR="00C15B6B" w:rsidRDefault="00000000">
      <w:pPr>
        <w:jc w:val="both"/>
        <w:rPr>
          <w:rFonts w:cs="Times New Roman"/>
          <w:szCs w:val="24"/>
          <w:lang w:val="es-EC"/>
        </w:rPr>
      </w:pPr>
      <w:r>
        <w:rPr>
          <w:rFonts w:cs="Times New Roman"/>
          <w:szCs w:val="24"/>
          <w:lang w:val="es-EC"/>
        </w:rPr>
        <w:t>En el caso de los estudiantes de segundo de bachillerato, esta etapa representó un punto de inflexión, donde las deficiencias en esta inteligencia podían limitar sus oportunidades futuras, especialmente en disciplinas relacionadas con ciencia, tecnología, ingeniería y matemáticas (STEM). Por ello, el estudio buscó no solo identificar las barreras existentes, sino también proponer caminos para superarlas, contribuyendo al fortalecimiento de la educación matemática en un entorno específico.</w:t>
      </w:r>
    </w:p>
    <w:p w14:paraId="4410346A" w14:textId="77777777" w:rsidR="00C15B6B" w:rsidRDefault="00000000">
      <w:pPr>
        <w:jc w:val="both"/>
        <w:rPr>
          <w:rFonts w:cs="Times New Roman"/>
          <w:szCs w:val="24"/>
          <w:lang w:val="es-EC"/>
        </w:rPr>
      </w:pPr>
      <w:r>
        <w:rPr>
          <w:rFonts w:cs="Times New Roman"/>
          <w:szCs w:val="24"/>
          <w:lang w:val="es-EC"/>
        </w:rPr>
        <w:t xml:space="preserve">Diversos autores abordaron la temática desde perspectivas complementarias. Howard Gardner (1983), con su Teoría de las Inteligencias Múltiples, proporcionó un marco conceptual clave al definir la inteligencia lógico-matemática como una capacidad para el razonamiento abstracto y la resolución de problemas. </w:t>
      </w:r>
    </w:p>
    <w:p w14:paraId="3CB79662" w14:textId="77777777" w:rsidR="00C15B6B" w:rsidRDefault="00000000">
      <w:pPr>
        <w:jc w:val="both"/>
        <w:rPr>
          <w:rFonts w:cs="Times New Roman"/>
          <w:szCs w:val="24"/>
          <w:lang w:val="es-EC"/>
        </w:rPr>
      </w:pPr>
      <w:r>
        <w:rPr>
          <w:rFonts w:cs="Times New Roman"/>
          <w:szCs w:val="24"/>
          <w:lang w:val="es-EC"/>
        </w:rPr>
        <w:t xml:space="preserve">Otros, como </w:t>
      </w:r>
      <w:proofErr w:type="spellStart"/>
      <w:r>
        <w:rPr>
          <w:rFonts w:cs="Times New Roman"/>
          <w:szCs w:val="24"/>
          <w:lang w:val="es-EC"/>
        </w:rPr>
        <w:t>Polya</w:t>
      </w:r>
      <w:proofErr w:type="spellEnd"/>
      <w:r>
        <w:rPr>
          <w:rFonts w:cs="Times New Roman"/>
          <w:szCs w:val="24"/>
          <w:lang w:val="es-EC"/>
        </w:rPr>
        <w:t xml:space="preserve"> (1957), enfatizaron estrategias sistemáticas para enfrentar problemas matemáticos, mientras que investigaciones más recientes, como las de Sarmiento-Rojas et al. (2023), destacaron la importancia de metodologías innovadoras que integraran tecnología y enfoques prácticos, estos trabajos subrayaron la necesidad de adaptar las prácticas pedagógicas a las demandas de un mundo cada vez más impulsado por el análisis lógico y la innovación, lo que reforzó la pertinencia del estudio realizado.</w:t>
      </w:r>
    </w:p>
    <w:p w14:paraId="6A10F934" w14:textId="77777777" w:rsidR="00C15B6B" w:rsidRDefault="00000000">
      <w:pPr>
        <w:jc w:val="both"/>
        <w:rPr>
          <w:rFonts w:cs="Times New Roman"/>
          <w:szCs w:val="24"/>
          <w:lang w:val="es-EC"/>
        </w:rPr>
      </w:pPr>
      <w:r>
        <w:rPr>
          <w:rFonts w:cs="Times New Roman"/>
          <w:szCs w:val="24"/>
          <w:lang w:val="es-EC"/>
        </w:rPr>
        <w:lastRenderedPageBreak/>
        <w:t xml:space="preserve">El impacto social de la investigación trascendió el ámbito académico al ofrecer soluciones que podían transformar la experiencia educativa de los estudiantes al mejorar la inteligencia lógico-matemática y la capacidad de resolver problemas, el estudio promovió una mayor confianza en los estudiantes, reduciendo la desmotivación y el abandono de asignaturas percibidas como desafiantes. </w:t>
      </w:r>
    </w:p>
    <w:p w14:paraId="2835244C" w14:textId="77777777" w:rsidR="00C15B6B" w:rsidRDefault="00000000">
      <w:pPr>
        <w:jc w:val="both"/>
        <w:rPr>
          <w:rFonts w:cs="Times New Roman"/>
          <w:szCs w:val="24"/>
          <w:lang w:val="es-EC"/>
        </w:rPr>
      </w:pPr>
      <w:r>
        <w:rPr>
          <w:rFonts w:cs="Times New Roman"/>
          <w:szCs w:val="24"/>
          <w:lang w:val="es-EC"/>
        </w:rPr>
        <w:t xml:space="preserve">Asimismo, al preparar a los jóvenes para enfrentar problemas complejos, se contribuyó a formar ciudadanos más capacitados para tomar decisiones informadas y participar activamente en una sociedad tecnológica. </w:t>
      </w:r>
    </w:p>
    <w:p w14:paraId="19BE3A60" w14:textId="77777777" w:rsidR="00C15B6B" w:rsidRDefault="00000000">
      <w:pPr>
        <w:jc w:val="both"/>
        <w:rPr>
          <w:rFonts w:cs="Times New Roman"/>
          <w:szCs w:val="24"/>
          <w:lang w:val="es-EC"/>
        </w:rPr>
      </w:pPr>
      <w:r>
        <w:rPr>
          <w:rFonts w:cs="Times New Roman"/>
          <w:szCs w:val="24"/>
          <w:lang w:val="es-EC"/>
        </w:rPr>
        <w:t>En el contexto local de Quito, particularmente en la parroquia Amaguaña, estas mejoras tuvieron el potencial de reducir brechas educativas y socioeconómicas, empoderando a los estudiantes para acceder a oportunidades de educación superior y empleo en áreas estratégicas. Así, la investigación no solo respondió a una necesidad educativa, sino que también proyectó beneficios duraderos para la comunidad, consolidando un modelo de enseñanza más inclusivo y efectivo.</w:t>
      </w:r>
    </w:p>
    <w:p w14:paraId="31D22248" w14:textId="77777777" w:rsidR="00C15B6B" w:rsidRDefault="00000000">
      <w:pPr>
        <w:jc w:val="center"/>
        <w:rPr>
          <w:rFonts w:cs="Times New Roman"/>
          <w:b/>
          <w:bCs/>
          <w:szCs w:val="24"/>
          <w:lang w:val="es-EC"/>
        </w:rPr>
      </w:pPr>
      <w:r>
        <w:rPr>
          <w:rFonts w:cs="Times New Roman"/>
          <w:b/>
          <w:bCs/>
          <w:szCs w:val="24"/>
          <w:lang w:val="es-EC"/>
        </w:rPr>
        <w:t>DESARROLLO</w:t>
      </w:r>
    </w:p>
    <w:p w14:paraId="657A00D7" w14:textId="77777777" w:rsidR="00C15B6B" w:rsidRDefault="00000000">
      <w:pPr>
        <w:jc w:val="center"/>
        <w:rPr>
          <w:rFonts w:cs="Times New Roman"/>
          <w:b/>
          <w:bCs/>
          <w:szCs w:val="24"/>
          <w:lang w:val="es-EC"/>
        </w:rPr>
      </w:pPr>
      <w:r>
        <w:rPr>
          <w:rFonts w:cs="Times New Roman"/>
          <w:b/>
          <w:bCs/>
          <w:szCs w:val="24"/>
          <w:lang w:val="es-EC"/>
        </w:rPr>
        <w:t>MUESTRA Y METODOLOGÍA</w:t>
      </w:r>
    </w:p>
    <w:p w14:paraId="147F2C66" w14:textId="77777777" w:rsidR="00C15B6B" w:rsidRDefault="00000000">
      <w:pPr>
        <w:jc w:val="both"/>
        <w:rPr>
          <w:rFonts w:cs="Times New Roman"/>
          <w:szCs w:val="24"/>
          <w:lang w:val="es-EC"/>
        </w:rPr>
      </w:pPr>
      <w:r>
        <w:rPr>
          <w:rFonts w:cs="Times New Roman"/>
          <w:szCs w:val="24"/>
          <w:lang w:val="es-EC"/>
        </w:rPr>
        <w:t xml:space="preserve">La investigación abordó un aspecto crítico de la educación matemática en el contexto ecuatoriano, y en particular en la Unidad Educativa Fiscal Atahualpa (localizada en la parroquia de Amaguaña, Quito). En este sentido, esta investigación hizo hincapié en conocer y mejorar el desarrollo de la inteligencia lógico-matemática -la cual es una habilidad básica para resolver problemáticas matemáticas- con el fin de resolver problemáticas académicas y/o profesionales. Mediante un estudio de tipo metodológico riguroso, se realizaron las identificaciones de las carencias lógico-matemáticas de los estudiantes y se </w:t>
      </w:r>
      <w:r>
        <w:rPr>
          <w:rFonts w:cs="Times New Roman"/>
          <w:szCs w:val="24"/>
          <w:lang w:val="es-EC"/>
        </w:rPr>
        <w:lastRenderedPageBreak/>
        <w:t>desarrollaron estrategias didácticas con el fin de resolverlas, y así contribuir a la formación integral de los jóvenes en un nivel educativo muy importante.</w:t>
      </w:r>
    </w:p>
    <w:p w14:paraId="6DD6F4EE" w14:textId="77777777" w:rsidR="00C15B6B" w:rsidRDefault="00000000">
      <w:pPr>
        <w:jc w:val="both"/>
        <w:rPr>
          <w:rFonts w:cs="Times New Roman"/>
          <w:szCs w:val="24"/>
          <w:lang w:val="es-EC"/>
        </w:rPr>
      </w:pPr>
      <w:r>
        <w:rPr>
          <w:rFonts w:cs="Times New Roman"/>
          <w:szCs w:val="24"/>
          <w:lang w:val="es-EC"/>
        </w:rPr>
        <w:t>La primera problemática quedó reflejada en el escaso rendimiento académico en matemáticas, donde más del 50 % de los alumnos de segundo de bachillerato eran incapaces de entender conceptos, de llevar a cabo estrategias eficaces para la resolución de problemas y, por tanto, de razonar correctamente. Estabilidad de rendimiento que no sólo podía dar lugar a malas calificaciones, sino también a consecuencias más profundas y duraderas, como en el acceso a carreras en donde predominan los conocimientos de ciencia, tecnología, ingeniería y matemáticas (STEM). Así, la investigación surgía de la necesaria necesidad de reducir las brechas existentes mediante propuestas pedagógicas innovadoras con las que reforzar la fluidez del alumnado.</w:t>
      </w:r>
    </w:p>
    <w:p w14:paraId="6A7F5149" w14:textId="77777777" w:rsidR="00C15B6B" w:rsidRDefault="00000000">
      <w:pPr>
        <w:jc w:val="both"/>
        <w:rPr>
          <w:rFonts w:cs="Times New Roman"/>
          <w:szCs w:val="24"/>
          <w:lang w:val="es-EC"/>
        </w:rPr>
      </w:pPr>
      <w:r>
        <w:rPr>
          <w:rFonts w:cs="Times New Roman"/>
          <w:szCs w:val="24"/>
          <w:lang w:val="es-EC"/>
        </w:rPr>
        <w:t xml:space="preserve">El marco teórico se centraba en la Teoría de las Inteligencias Múltiples de Howard Gardner (1983), que considera la inteligencia lógico-matemática como la mejor condición para enfocar precisamente problemas abstractos, realizar cálculos o resolver problemas de tipo sistemático; en este sentido, el modelo de </w:t>
      </w:r>
      <w:proofErr w:type="spellStart"/>
      <w:r>
        <w:rPr>
          <w:rFonts w:cs="Times New Roman"/>
          <w:szCs w:val="24"/>
          <w:lang w:val="es-EC"/>
        </w:rPr>
        <w:t>Polya</w:t>
      </w:r>
      <w:proofErr w:type="spellEnd"/>
      <w:r>
        <w:rPr>
          <w:rFonts w:cs="Times New Roman"/>
          <w:szCs w:val="24"/>
          <w:lang w:val="es-EC"/>
        </w:rPr>
        <w:t xml:space="preserve"> (1957) ilustró la resolución de problemas y, en un sentido más contemporáneo, Sarmiento-Rojas et al. (2023), proponían la integración de metodologías que contribuirán al fomento de un pensamiento numérico, espacial y aleatorio en edades más tiernas. Estas visiones posteriormente incentivarían una conexión de los conceptos matemáticos con la realidad, lo que guiaría el diseño de las estrategias didácticas a implementar.</w:t>
      </w:r>
    </w:p>
    <w:p w14:paraId="315E3D0E" w14:textId="77777777" w:rsidR="00C15B6B" w:rsidRDefault="00000000">
      <w:pPr>
        <w:jc w:val="both"/>
        <w:rPr>
          <w:rFonts w:cs="Times New Roman"/>
          <w:szCs w:val="24"/>
          <w:lang w:val="es-EC"/>
        </w:rPr>
      </w:pPr>
      <w:r>
        <w:rPr>
          <w:rFonts w:cs="Times New Roman"/>
          <w:szCs w:val="24"/>
          <w:lang w:val="es-EC"/>
        </w:rPr>
        <w:t xml:space="preserve">La población de estudio estuvo constituida por los/as estudiantes de segundo de bachillerato de la Unidad Educativa Fiscal Atahualpa, una muestra representativa de la diversidad en la unidad socioeconómica de la parroquia de Amaguaña. La muestra correspondió a 49 estudiantes, lo que equivalió al 100 % de los/as estudiantes de este nivel, y a dos profesores de matemáticas (50 % de los docentes especializados), </w:t>
      </w:r>
      <w:r>
        <w:rPr>
          <w:rFonts w:cs="Times New Roman"/>
          <w:szCs w:val="24"/>
          <w:lang w:val="es-EC"/>
        </w:rPr>
        <w:lastRenderedPageBreak/>
        <w:t>seleccionados mediante muestreo aleatorio. La selección de una muestra intencional de los/as estudiantes se justificaba para garantizar la representatividad y la viabilidad del análisis, dado que este grupo de estudio presentaba dificultades en el avance de su desarrollo de la inteligencia lógico-matemáticas. La incorporación de los docentes pretendía captar información complementaria sobre el desarrollo de las dinámicas de enseñanza, completando el diagnóstico inicial y la evaluación de las propuestas que se analizaban.</w:t>
      </w:r>
    </w:p>
    <w:p w14:paraId="07590C45" w14:textId="77777777" w:rsidR="00C15B6B" w:rsidRDefault="00000000">
      <w:pPr>
        <w:jc w:val="both"/>
        <w:rPr>
          <w:rFonts w:cs="Times New Roman"/>
          <w:szCs w:val="24"/>
          <w:lang w:val="es-EC"/>
        </w:rPr>
      </w:pPr>
      <w:r>
        <w:rPr>
          <w:rFonts w:cs="Times New Roman"/>
          <w:szCs w:val="24"/>
          <w:lang w:val="es-EC"/>
        </w:rPr>
        <w:t xml:space="preserve">La estrategia empleada combinó métodos teóricos, empíricos y estadísticos bajo un enfoque dialéctico-materialista, permitiendo un análisis integral de la inteligencia lógico-matemática y la resolución de problemas. Los métodos teóricos incluyeron: </w:t>
      </w:r>
    </w:p>
    <w:p w14:paraId="7E385FCC" w14:textId="77777777" w:rsidR="00C15B6B" w:rsidRDefault="00000000">
      <w:pPr>
        <w:jc w:val="both"/>
        <w:rPr>
          <w:lang w:val="es-EC"/>
        </w:rPr>
      </w:pPr>
      <w:r>
        <w:rPr>
          <w:rFonts w:cs="Times New Roman"/>
          <w:szCs w:val="24"/>
          <w:lang w:val="es-EC"/>
        </w:rPr>
        <w:t>• Análisis documental: Revisión de literatura académica (</w:t>
      </w:r>
      <w:r>
        <w:rPr>
          <w:lang w:val="es-EC"/>
        </w:rPr>
        <w:t>fuentes relevantes que sustentaron el marco teórico sobre la inteligencia lógico-matemática, la resolución de problemas, el enfoque constructivista, el Aprendizaje Basado en Problemas (ABP) y el uso de tecnologías educativas),</w:t>
      </w:r>
      <w:r>
        <w:rPr>
          <w:rFonts w:cs="Times New Roman"/>
          <w:szCs w:val="24"/>
          <w:lang w:val="es-EC"/>
        </w:rPr>
        <w:t xml:space="preserve"> documentos curriculares del Ministerio de Educación del Ecuador y políticas educativas para construir un marco teórico robusto.</w:t>
      </w:r>
    </w:p>
    <w:p w14:paraId="53BFFFCE" w14:textId="77777777" w:rsidR="00C15B6B" w:rsidRDefault="00000000">
      <w:pPr>
        <w:jc w:val="both"/>
        <w:rPr>
          <w:rFonts w:cs="Times New Roman"/>
          <w:szCs w:val="24"/>
          <w:lang w:val="es-EC"/>
        </w:rPr>
      </w:pPr>
      <w:r>
        <w:rPr>
          <w:rFonts w:cs="Times New Roman"/>
          <w:szCs w:val="24"/>
          <w:lang w:val="es-EC"/>
        </w:rPr>
        <w:t>• Análisis histórico-lógico: Contextualización de la evolución de la inteligencia lógico-matemática en la educación secundaria ecuatoriana.</w:t>
      </w:r>
    </w:p>
    <w:p w14:paraId="07C574DB" w14:textId="77777777" w:rsidR="00C15B6B" w:rsidRDefault="00000000">
      <w:pPr>
        <w:jc w:val="both"/>
        <w:rPr>
          <w:rFonts w:cs="Times New Roman"/>
          <w:szCs w:val="24"/>
          <w:lang w:val="es-EC"/>
        </w:rPr>
      </w:pPr>
      <w:r>
        <w:rPr>
          <w:rFonts w:cs="Times New Roman"/>
          <w:szCs w:val="24"/>
          <w:lang w:val="es-EC"/>
        </w:rPr>
        <w:t xml:space="preserve"> • Análisis-síntesis e inducción-deducción: Identificación de patrones didácticos relevantes para el diseño de estrategias. </w:t>
      </w:r>
    </w:p>
    <w:p w14:paraId="3D20A211" w14:textId="77777777" w:rsidR="00C15B6B" w:rsidRDefault="00000000">
      <w:pPr>
        <w:jc w:val="both"/>
        <w:rPr>
          <w:rFonts w:cs="Times New Roman"/>
          <w:szCs w:val="24"/>
          <w:lang w:val="es-EC"/>
        </w:rPr>
      </w:pPr>
      <w:r>
        <w:rPr>
          <w:rFonts w:cs="Times New Roman"/>
          <w:szCs w:val="24"/>
          <w:lang w:val="es-EC"/>
        </w:rPr>
        <w:t xml:space="preserve">• Enfoque sistémico y modelación: Representación gráfica de las interacciones entre estudiantes, docentes y contenidos, valorando las orientaciones didácticas. </w:t>
      </w:r>
    </w:p>
    <w:p w14:paraId="27F63BF8" w14:textId="77777777" w:rsidR="00C15B6B" w:rsidRDefault="00000000">
      <w:pPr>
        <w:jc w:val="both"/>
        <w:rPr>
          <w:rFonts w:cs="Times New Roman"/>
          <w:szCs w:val="24"/>
          <w:lang w:val="es-EC"/>
        </w:rPr>
      </w:pPr>
      <w:r>
        <w:rPr>
          <w:rFonts w:cs="Times New Roman"/>
          <w:szCs w:val="24"/>
          <w:lang w:val="es-EC"/>
        </w:rPr>
        <w:t>Desde el punto de vista empírico, se implementaron:</w:t>
      </w:r>
    </w:p>
    <w:p w14:paraId="2C67721C" w14:textId="77777777" w:rsidR="00C15B6B" w:rsidRDefault="00000000">
      <w:pPr>
        <w:jc w:val="both"/>
        <w:rPr>
          <w:rFonts w:cs="Times New Roman"/>
          <w:szCs w:val="24"/>
          <w:lang w:val="es-EC"/>
        </w:rPr>
      </w:pPr>
      <w:r>
        <w:rPr>
          <w:rFonts w:cs="Times New Roman"/>
          <w:szCs w:val="24"/>
          <w:lang w:val="es-EC"/>
        </w:rPr>
        <w:lastRenderedPageBreak/>
        <w:t xml:space="preserve"> • Observación pedagógica: Análisis de dinámicas de aula para identificar fortalezas (ejemplo, interés en actividades interactivas) y debilidades (ejemplo, dificultad con problemas no rutinarios) en las metodologías de enseñanza. </w:t>
      </w:r>
    </w:p>
    <w:p w14:paraId="17916DEC" w14:textId="77777777" w:rsidR="00C15B6B" w:rsidRDefault="00000000">
      <w:pPr>
        <w:jc w:val="both"/>
        <w:rPr>
          <w:rFonts w:cs="Times New Roman"/>
          <w:szCs w:val="24"/>
          <w:lang w:val="es-EC"/>
        </w:rPr>
      </w:pPr>
      <w:r>
        <w:rPr>
          <w:rFonts w:cs="Times New Roman"/>
          <w:szCs w:val="24"/>
          <w:lang w:val="es-EC"/>
        </w:rPr>
        <w:t xml:space="preserve">• Entrevistas y encuestas: Recolección de percepciones cualitativas de estudiantes (ejemplo, motivación, dificultades) y docentes (ejemplos, retos en la enseñanza), identificando barreras como la falta de estrategias prácticas. </w:t>
      </w:r>
    </w:p>
    <w:p w14:paraId="4132B0BB" w14:textId="77777777" w:rsidR="00C15B6B" w:rsidRDefault="00000000">
      <w:pPr>
        <w:jc w:val="both"/>
        <w:rPr>
          <w:rFonts w:cs="Times New Roman"/>
          <w:szCs w:val="24"/>
          <w:lang w:val="es-EC"/>
        </w:rPr>
      </w:pPr>
      <w:r>
        <w:rPr>
          <w:rFonts w:cs="Times New Roman"/>
          <w:szCs w:val="24"/>
          <w:lang w:val="es-EC"/>
        </w:rPr>
        <w:t>• Pruebas pedagógicas: Evaluaciones estandarizadas (10 problemas de álgebra, geometría y razonamiento lógico) aplicadas antes y después de la intervención para medir el desarrollo de la inteligencia lógico-matemática.</w:t>
      </w:r>
    </w:p>
    <w:p w14:paraId="50B2C009" w14:textId="77777777" w:rsidR="00C15B6B" w:rsidRDefault="00000000">
      <w:pPr>
        <w:jc w:val="both"/>
        <w:rPr>
          <w:rFonts w:cs="Times New Roman"/>
          <w:szCs w:val="24"/>
          <w:lang w:val="es-EC"/>
        </w:rPr>
      </w:pPr>
      <w:r>
        <w:rPr>
          <w:rFonts w:cs="Times New Roman"/>
          <w:szCs w:val="24"/>
          <w:lang w:val="es-EC"/>
        </w:rPr>
        <w:t xml:space="preserve">• </w:t>
      </w:r>
      <w:proofErr w:type="spellStart"/>
      <w:r>
        <w:rPr>
          <w:rFonts w:cs="Times New Roman"/>
          <w:szCs w:val="24"/>
          <w:lang w:val="es-EC"/>
        </w:rPr>
        <w:t>Cuasi-experimento</w:t>
      </w:r>
      <w:proofErr w:type="spellEnd"/>
      <w:r>
        <w:rPr>
          <w:rFonts w:cs="Times New Roman"/>
          <w:szCs w:val="24"/>
          <w:lang w:val="es-EC"/>
        </w:rPr>
        <w:t xml:space="preserve">: Comparación del grupo experimental, que participó en la intervención didáctica, con el grupo de control, que mantuvo la enseñanza tradicional. Los métodos estadísticos incluyeron estadística descriptiva (media, desviación estándar, distribuciones de frecuencias) y estadística inferencial (prueba t de </w:t>
      </w:r>
      <w:proofErr w:type="spellStart"/>
      <w:r>
        <w:rPr>
          <w:rFonts w:cs="Times New Roman"/>
          <w:szCs w:val="24"/>
          <w:lang w:val="es-EC"/>
        </w:rPr>
        <w:t>Student</w:t>
      </w:r>
      <w:proofErr w:type="spellEnd"/>
      <w:r>
        <w:rPr>
          <w:rFonts w:cs="Times New Roman"/>
          <w:szCs w:val="24"/>
          <w:lang w:val="es-EC"/>
        </w:rPr>
        <w:t xml:space="preserve">) para validar las diferencias en el rendimiento académico. La intervención didáctica, basada en el constructivismo y el ABP, se diseñó para estudiantes y docentes, promoviendo la inteligencia lógico-matemática y competencias transferibles. Las estrategias se implementaron de la siguiente manera: </w:t>
      </w:r>
    </w:p>
    <w:p w14:paraId="747E0BC2" w14:textId="77777777" w:rsidR="00C15B6B" w:rsidRDefault="00000000">
      <w:pPr>
        <w:jc w:val="both"/>
        <w:rPr>
          <w:rFonts w:cs="Times New Roman"/>
          <w:szCs w:val="24"/>
          <w:lang w:val="es-EC"/>
        </w:rPr>
      </w:pPr>
      <w:r>
        <w:rPr>
          <w:rFonts w:cs="Times New Roman"/>
          <w:szCs w:val="24"/>
          <w:lang w:val="es-EC"/>
        </w:rPr>
        <w:t xml:space="preserve">• Talleres estructurados (estudiantes): Sesiones guiadas de 60 minutos, dos veces por semana, enfocadas en problemas contextualizados. Por ejemplo, los estudiantes resolvieron ecuaciones lineales aplicadas a la planificación de un presupuesto familiar (calcular gastos mensuales con ingresos fijos). Estas actividades fomentaron el pensamiento crítico al requerir que los estudiantes evaluaran múltiples métodos de solución y justificaran sus elecciones. </w:t>
      </w:r>
    </w:p>
    <w:p w14:paraId="2296004C" w14:textId="77777777" w:rsidR="00C15B6B" w:rsidRDefault="00000000">
      <w:pPr>
        <w:jc w:val="both"/>
        <w:rPr>
          <w:rFonts w:cs="Times New Roman"/>
          <w:szCs w:val="24"/>
          <w:lang w:val="es-EC"/>
        </w:rPr>
      </w:pPr>
      <w:r>
        <w:rPr>
          <w:rFonts w:cs="Times New Roman"/>
          <w:szCs w:val="24"/>
          <w:lang w:val="es-EC"/>
        </w:rPr>
        <w:lastRenderedPageBreak/>
        <w:t xml:space="preserve">Para docentes: Se realizaron capacitaciones semanales para diseñar talleres, utilizando guías con rúbricas que evaluaban el razonamiento lógico y la aplicación práctica, asegurando una retroalimentación formativa constante. </w:t>
      </w:r>
    </w:p>
    <w:p w14:paraId="6F962FF5" w14:textId="77777777" w:rsidR="00C15B6B" w:rsidRDefault="00000000">
      <w:pPr>
        <w:jc w:val="both"/>
        <w:rPr>
          <w:rFonts w:cs="Times New Roman"/>
          <w:szCs w:val="24"/>
          <w:lang w:val="es-EC"/>
        </w:rPr>
      </w:pPr>
      <w:r>
        <w:rPr>
          <w:rFonts w:cs="Times New Roman"/>
          <w:szCs w:val="24"/>
          <w:lang w:val="es-EC"/>
        </w:rPr>
        <w:t xml:space="preserve">• Juegos matemáticos (estudiantes): Uso de </w:t>
      </w:r>
      <w:proofErr w:type="spellStart"/>
      <w:r>
        <w:rPr>
          <w:rFonts w:cs="Times New Roman"/>
          <w:szCs w:val="24"/>
          <w:lang w:val="es-EC"/>
        </w:rPr>
        <w:t>Kahoot</w:t>
      </w:r>
      <w:proofErr w:type="spellEnd"/>
      <w:r>
        <w:rPr>
          <w:rFonts w:cs="Times New Roman"/>
          <w:szCs w:val="24"/>
          <w:lang w:val="es-EC"/>
        </w:rPr>
        <w:t xml:space="preserve">! para competencias de resolución rápida de problemas (ejemplo para identificar patrones numéricos en 30 segundos) y GeoGebra para visualizaciones interactivas (ejemplo, transformaciones geométricas en el plano). Estas actividades promovieron la colaboración y la toma de decisiones bajo presión, habilidades transferibles a entornos laborales. </w:t>
      </w:r>
    </w:p>
    <w:p w14:paraId="6FBACDBA" w14:textId="77777777" w:rsidR="00C15B6B" w:rsidRDefault="00000000">
      <w:pPr>
        <w:jc w:val="both"/>
        <w:rPr>
          <w:rFonts w:cs="Times New Roman"/>
          <w:szCs w:val="24"/>
          <w:lang w:val="es-EC"/>
        </w:rPr>
      </w:pPr>
      <w:r>
        <w:rPr>
          <w:rFonts w:cs="Times New Roman"/>
          <w:szCs w:val="24"/>
          <w:lang w:val="es-EC"/>
        </w:rPr>
        <w:t xml:space="preserve">Para docentes: </w:t>
      </w:r>
      <w:proofErr w:type="gramStart"/>
      <w:r>
        <w:rPr>
          <w:rFonts w:cs="Times New Roman"/>
          <w:szCs w:val="24"/>
          <w:lang w:val="es-EC"/>
        </w:rPr>
        <w:t xml:space="preserve">Se capacitó a los docentes en la creación de actividades interactivas en </w:t>
      </w:r>
      <w:proofErr w:type="spellStart"/>
      <w:r>
        <w:rPr>
          <w:rFonts w:cs="Times New Roman"/>
          <w:szCs w:val="24"/>
          <w:lang w:val="es-EC"/>
        </w:rPr>
        <w:t>Kahoot</w:t>
      </w:r>
      <w:proofErr w:type="spellEnd"/>
      <w:r>
        <w:rPr>
          <w:rFonts w:cs="Times New Roman"/>
          <w:szCs w:val="24"/>
          <w:lang w:val="es-EC"/>
        </w:rPr>
        <w:t>!</w:t>
      </w:r>
      <w:proofErr w:type="gramEnd"/>
      <w:r>
        <w:rPr>
          <w:rFonts w:cs="Times New Roman"/>
          <w:szCs w:val="24"/>
          <w:lang w:val="es-EC"/>
        </w:rPr>
        <w:t xml:space="preserve"> y GeoGebra, integrando preguntas que conectaban conceptos matemáticos con situaciones reales (ejemplo, calcular áreas para diseñar un jardín comunitario). </w:t>
      </w:r>
    </w:p>
    <w:p w14:paraId="6C733EFF" w14:textId="77777777" w:rsidR="00C15B6B" w:rsidRDefault="00000000">
      <w:pPr>
        <w:jc w:val="both"/>
        <w:rPr>
          <w:rFonts w:cs="Times New Roman"/>
          <w:szCs w:val="24"/>
          <w:lang w:val="es-EC"/>
        </w:rPr>
      </w:pPr>
      <w:r>
        <w:rPr>
          <w:rFonts w:cs="Times New Roman"/>
          <w:szCs w:val="24"/>
          <w:lang w:val="es-EC"/>
        </w:rPr>
        <w:t xml:space="preserve">• Proyectos integradores (estudiantes): Tareas grupales de dos semanas, como diseñar un plan de ahorro para un emprendimiento local (ejemplo, una tienda de abarrotes), donde los estudiantes aplicaron conceptos de álgebra (ecuaciones, porcentajes) y geometría (optimización de espacios). Estas actividades desarrollaron habilidades de planificación y análisis crítico, aplicables a contextos cotidianos y profesionales. </w:t>
      </w:r>
    </w:p>
    <w:p w14:paraId="1C44A22B" w14:textId="77777777" w:rsidR="00C15B6B" w:rsidRDefault="00000000">
      <w:pPr>
        <w:jc w:val="both"/>
        <w:rPr>
          <w:rFonts w:cs="Times New Roman"/>
          <w:szCs w:val="24"/>
          <w:lang w:val="es-EC"/>
        </w:rPr>
      </w:pPr>
      <w:r>
        <w:rPr>
          <w:rFonts w:cs="Times New Roman"/>
          <w:szCs w:val="24"/>
          <w:lang w:val="es-EC"/>
        </w:rPr>
        <w:t>Para docentes: Los docentes recibieron formación en el diseño de proyectos interdisciplinarios, utilizando plantillas que alineaban los objetivos matemáticos con problemas reales, y se les capacitó en la evaluación de proyectos mediante rúbricas que medían creatividad y razonamiento.</w:t>
      </w:r>
    </w:p>
    <w:p w14:paraId="100E03E5" w14:textId="77777777" w:rsidR="00C15B6B" w:rsidRDefault="00000000">
      <w:pPr>
        <w:jc w:val="both"/>
        <w:rPr>
          <w:rFonts w:cs="Times New Roman"/>
          <w:szCs w:val="24"/>
          <w:lang w:val="es-EC"/>
        </w:rPr>
      </w:pPr>
      <w:r>
        <w:rPr>
          <w:rFonts w:cs="Times New Roman"/>
          <w:szCs w:val="24"/>
          <w:lang w:val="es-EC"/>
        </w:rPr>
        <w:t xml:space="preserve">• Evaluación formativa (estudiantes y docentes): Se implementaron rúbricas y retroalimentación continua para ajustar las estrategias. Por ejemplo, los estudiantes recibieron comentarios personalizados tras cada </w:t>
      </w:r>
      <w:r>
        <w:rPr>
          <w:rFonts w:cs="Times New Roman"/>
          <w:szCs w:val="24"/>
          <w:lang w:val="es-EC"/>
        </w:rPr>
        <w:lastRenderedPageBreak/>
        <w:t xml:space="preserve">taller, mientras que los docentes participaron en sesiones reflexivas para mejorar la implementación de las actividades. Las estrategias se combinaron secuencialmente para maximizar el aprendizaje: </w:t>
      </w:r>
    </w:p>
    <w:p w14:paraId="04B82B7B" w14:textId="77777777" w:rsidR="00C15B6B" w:rsidRDefault="00000000">
      <w:pPr>
        <w:jc w:val="both"/>
        <w:rPr>
          <w:rFonts w:cs="Times New Roman"/>
          <w:szCs w:val="24"/>
          <w:lang w:val="es-EC"/>
        </w:rPr>
      </w:pPr>
      <w:r>
        <w:rPr>
          <w:rFonts w:cs="Times New Roman"/>
          <w:szCs w:val="24"/>
          <w:lang w:val="es-EC"/>
        </w:rPr>
        <w:t xml:space="preserve">1. Fase introductoria (talleres): Los talleres introdujeron conceptos clave para resolver problemas y estrategias de resolución sistemática (comprender, planificar, ejecutar, verificar). Esto estableció una base teórica sólida. </w:t>
      </w:r>
    </w:p>
    <w:p w14:paraId="2868C582" w14:textId="77777777" w:rsidR="00C15B6B" w:rsidRDefault="00000000">
      <w:pPr>
        <w:jc w:val="both"/>
        <w:rPr>
          <w:rFonts w:cs="Times New Roman"/>
          <w:szCs w:val="24"/>
          <w:lang w:val="es-EC"/>
        </w:rPr>
      </w:pPr>
      <w:r>
        <w:rPr>
          <w:rFonts w:cs="Times New Roman"/>
          <w:szCs w:val="24"/>
          <w:lang w:val="es-EC"/>
        </w:rPr>
        <w:t xml:space="preserve">2. Fase práctica (juegos matemáticos): Los juegos en </w:t>
      </w:r>
      <w:proofErr w:type="spellStart"/>
      <w:r>
        <w:rPr>
          <w:rFonts w:cs="Times New Roman"/>
          <w:szCs w:val="24"/>
          <w:lang w:val="es-EC"/>
        </w:rPr>
        <w:t>Kahoot</w:t>
      </w:r>
      <w:proofErr w:type="spellEnd"/>
      <w:r>
        <w:rPr>
          <w:rFonts w:cs="Times New Roman"/>
          <w:szCs w:val="24"/>
          <w:lang w:val="es-EC"/>
        </w:rPr>
        <w:t xml:space="preserve">! y GeoGebra reforzaron los conceptos mediante actividades interactivas, promoviendo la colaboración y la aplicación inmediata. ¡Por ejemplo, un juego en </w:t>
      </w:r>
      <w:proofErr w:type="spellStart"/>
      <w:r>
        <w:rPr>
          <w:rFonts w:cs="Times New Roman"/>
          <w:szCs w:val="24"/>
          <w:lang w:val="es-EC"/>
        </w:rPr>
        <w:t>Kahoot</w:t>
      </w:r>
      <w:proofErr w:type="spellEnd"/>
      <w:r>
        <w:rPr>
          <w:rFonts w:cs="Times New Roman"/>
          <w:szCs w:val="24"/>
          <w:lang w:val="es-EC"/>
        </w:rPr>
        <w:t>! sobre patrones numéricos complementaba un taller previo sobre sucesiones.</w:t>
      </w:r>
    </w:p>
    <w:p w14:paraId="566DCC10" w14:textId="77777777" w:rsidR="00C15B6B" w:rsidRDefault="00000000">
      <w:pPr>
        <w:jc w:val="both"/>
        <w:rPr>
          <w:rFonts w:cs="Times New Roman"/>
          <w:szCs w:val="24"/>
          <w:lang w:val="es-EC"/>
        </w:rPr>
      </w:pPr>
      <w:r>
        <w:rPr>
          <w:rFonts w:cs="Times New Roman"/>
          <w:szCs w:val="24"/>
          <w:lang w:val="es-EC"/>
        </w:rPr>
        <w:t xml:space="preserve">3. Fase aplicada (proyectos integradores): Los proyectos integraron los conceptos aprendidos en talleres y juegos, aplicándolos a contextos reales. Por ejemplo, un proyecto de diseño de un plan de ahorro usaba ecuaciones trabajadas en talleres y visualizaciones geométricas practicadas en GeoGebra. </w:t>
      </w:r>
    </w:p>
    <w:p w14:paraId="4D3A78B9" w14:textId="77777777" w:rsidR="00C15B6B" w:rsidRDefault="00000000">
      <w:pPr>
        <w:jc w:val="both"/>
        <w:rPr>
          <w:rFonts w:cs="Times New Roman"/>
          <w:szCs w:val="24"/>
          <w:lang w:val="es-EC"/>
        </w:rPr>
      </w:pPr>
      <w:r>
        <w:rPr>
          <w:rFonts w:cs="Times New Roman"/>
          <w:szCs w:val="24"/>
          <w:lang w:val="es-EC"/>
        </w:rPr>
        <w:t xml:space="preserve">4. Fase reflexiva (evaluación formativa): La retroalimentación continua permitió a estudiantes y docentes ajustar sus enfoques, asegurando un aprendizaje significativo y la transferencia de habilidades a contextos cotidianos como la gestión financiera y laborales como la optimización de recursos. </w:t>
      </w:r>
    </w:p>
    <w:p w14:paraId="57363529" w14:textId="77777777" w:rsidR="00C15B6B" w:rsidRDefault="00000000">
      <w:pPr>
        <w:jc w:val="both"/>
        <w:rPr>
          <w:rFonts w:cs="Times New Roman"/>
          <w:szCs w:val="24"/>
          <w:lang w:val="es-EC"/>
        </w:rPr>
      </w:pPr>
      <w:r>
        <w:rPr>
          <w:rFonts w:cs="Times New Roman"/>
          <w:szCs w:val="24"/>
          <w:lang w:val="es-EC"/>
        </w:rPr>
        <w:t>Esta integración secuencial aseguró que los estudiantes desarrollaran habilidades progresivamente, desde la comprensión teórica hasta la aplicación práctica, mientras que los docentes adquirieron herramientas para implementar y evaluar estas estrategias de manera efectiva.</w:t>
      </w:r>
    </w:p>
    <w:p w14:paraId="55A24B92" w14:textId="77777777" w:rsidR="00C15B6B" w:rsidRDefault="00000000">
      <w:pPr>
        <w:jc w:val="center"/>
        <w:rPr>
          <w:rFonts w:cs="Times New Roman"/>
          <w:b/>
          <w:bCs/>
          <w:szCs w:val="24"/>
          <w:lang w:val="es-EC"/>
        </w:rPr>
      </w:pPr>
      <w:r>
        <w:rPr>
          <w:rFonts w:cs="Times New Roman"/>
          <w:b/>
          <w:bCs/>
          <w:szCs w:val="24"/>
          <w:lang w:val="es-EC"/>
        </w:rPr>
        <w:t>RESULTADOS</w:t>
      </w:r>
    </w:p>
    <w:p w14:paraId="4E3A0C89" w14:textId="77777777" w:rsidR="00C15B6B" w:rsidRDefault="00000000">
      <w:pPr>
        <w:jc w:val="both"/>
        <w:rPr>
          <w:rFonts w:cs="Times New Roman"/>
          <w:szCs w:val="24"/>
          <w:lang w:val="es-EC"/>
        </w:rPr>
      </w:pPr>
      <w:r>
        <w:rPr>
          <w:rFonts w:cs="Times New Roman"/>
          <w:szCs w:val="24"/>
          <w:lang w:val="es-EC"/>
        </w:rPr>
        <w:t>Las didácticas que se construyeron a partir de enfoques constructivistas y del Aprendizaje Basado en Problemas (ABP), facilitando la interacción activa, el aprendizaje significativo y la reflexión permanente.</w:t>
      </w:r>
    </w:p>
    <w:p w14:paraId="23FFBE36" w14:textId="77777777" w:rsidR="00C15B6B" w:rsidRDefault="00000000">
      <w:pPr>
        <w:jc w:val="both"/>
        <w:rPr>
          <w:rFonts w:cs="Times New Roman"/>
          <w:szCs w:val="24"/>
          <w:lang w:val="es-ES"/>
        </w:rPr>
      </w:pPr>
      <w:r>
        <w:rPr>
          <w:rFonts w:cs="Times New Roman"/>
          <w:szCs w:val="24"/>
          <w:lang w:val="es-ES"/>
        </w:rPr>
        <w:lastRenderedPageBreak/>
        <w:t xml:space="preserve">El grupo experimental obtuvo un promedio de 8,43 (desviación estándar = 1,2) en la prueba estandarizada, frente a 5,60 (desviación estándar = 1,5) en el grupo de control. La prueba t de </w:t>
      </w:r>
      <w:proofErr w:type="spellStart"/>
      <w:r>
        <w:rPr>
          <w:rFonts w:cs="Times New Roman"/>
          <w:szCs w:val="24"/>
          <w:lang w:val="es-ES"/>
        </w:rPr>
        <w:t>Student</w:t>
      </w:r>
      <w:proofErr w:type="spellEnd"/>
      <w:r>
        <w:rPr>
          <w:rFonts w:cs="Times New Roman"/>
          <w:szCs w:val="24"/>
          <w:lang w:val="es-ES"/>
        </w:rPr>
        <w:t xml:space="preserve"> reveló una diferencia significativa (t = 9,87, p &lt; 0,01). El 68,67% de los estudiantes del grupo experimental lograron calificaciones entre 8 y 13, mientras que el 50% del grupo de control obtuvo notas por debajo de 5.</w:t>
      </w:r>
    </w:p>
    <w:p w14:paraId="2530DA50" w14:textId="77777777" w:rsidR="00C15B6B" w:rsidRDefault="00000000">
      <w:pPr>
        <w:jc w:val="both"/>
        <w:rPr>
          <w:rFonts w:cs="Times New Roman"/>
          <w:szCs w:val="24"/>
          <w:lang w:val="es-ES"/>
        </w:rPr>
      </w:pPr>
      <w:r>
        <w:rPr>
          <w:rFonts w:cs="Times New Roman"/>
          <w:szCs w:val="24"/>
          <w:lang w:val="es-ES"/>
        </w:rPr>
        <w:t>Gráfico 1: Resultados del grupo experimental. Un histograma muestra la distribución de calificaciones, con una concentración en el rango 8–10 (60% de los estudiantes), indicando un desempeño elevado en razonamiento lógico y resolución de problemas no rutinarios.</w:t>
      </w:r>
    </w:p>
    <w:p w14:paraId="5E33E77B" w14:textId="77777777" w:rsidR="00C15B6B" w:rsidRDefault="00000000">
      <w:pPr>
        <w:pStyle w:val="Sinespaciado"/>
        <w:jc w:val="both"/>
        <w:rPr>
          <w:rFonts w:ascii="Times New Roman" w:hAnsi="Times New Roman" w:cs="Times New Roman"/>
          <w:lang w:val="es-EC"/>
        </w:rPr>
      </w:pPr>
      <w:r>
        <w:rPr>
          <w:rFonts w:ascii="Times New Roman" w:hAnsi="Times New Roman" w:cs="Times New Roman"/>
          <w:lang w:val="es-EC"/>
        </w:rPr>
        <w:t xml:space="preserve">Gráfico 1. </w:t>
      </w:r>
      <w:r>
        <w:rPr>
          <w:rFonts w:ascii="Times New Roman" w:hAnsi="Times New Roman" w:cs="Times New Roman"/>
          <w:i/>
          <w:iCs/>
          <w:lang w:val="es-EC"/>
        </w:rPr>
        <w:t>Resultados del grupo experimental</w:t>
      </w:r>
    </w:p>
    <w:p w14:paraId="08445146" w14:textId="77777777" w:rsidR="00C15B6B" w:rsidRDefault="00000000">
      <w:pPr>
        <w:pStyle w:val="Sinespaciado"/>
        <w:jc w:val="both"/>
        <w:rPr>
          <w:rFonts w:ascii="Times New Roman" w:hAnsi="Times New Roman" w:cs="Times New Roman"/>
          <w:lang w:val="es-EC"/>
        </w:rPr>
      </w:pPr>
      <w:r>
        <w:rPr>
          <w:rStyle w:val="Textoennegrita"/>
          <w:rFonts w:ascii="Times New Roman" w:eastAsiaTheme="majorEastAsia" w:hAnsi="Times New Roman" w:cs="Times New Roman"/>
          <w:noProof/>
        </w:rPr>
        <w:drawing>
          <wp:inline distT="0" distB="0" distL="0" distR="0" wp14:anchorId="181BF70E" wp14:editId="03E198F3">
            <wp:extent cx="4253865" cy="2209800"/>
            <wp:effectExtent l="0" t="0" r="0" b="0"/>
            <wp:docPr id="7853576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57688" name="Imagen 1"/>
                    <pic:cNvPicPr>
                      <a:picLocks noChangeAspect="1"/>
                    </pic:cNvPicPr>
                  </pic:nvPicPr>
                  <pic:blipFill>
                    <a:blip r:embed="rId11"/>
                    <a:stretch>
                      <a:fillRect/>
                    </a:stretch>
                  </pic:blipFill>
                  <pic:spPr>
                    <a:xfrm>
                      <a:off x="0" y="0"/>
                      <a:ext cx="4308063" cy="2237955"/>
                    </a:xfrm>
                    <a:prstGeom prst="rect">
                      <a:avLst/>
                    </a:prstGeom>
                  </pic:spPr>
                </pic:pic>
              </a:graphicData>
            </a:graphic>
          </wp:inline>
        </w:drawing>
      </w:r>
    </w:p>
    <w:p w14:paraId="3FEE9A02" w14:textId="77777777" w:rsidR="00C15B6B" w:rsidRDefault="00000000">
      <w:pPr>
        <w:pStyle w:val="Sinespaciado"/>
        <w:jc w:val="both"/>
        <w:rPr>
          <w:rFonts w:ascii="Times New Roman" w:hAnsi="Times New Roman" w:cs="Times New Roman"/>
          <w:lang w:val="es-EC"/>
        </w:rPr>
      </w:pPr>
      <w:r>
        <w:rPr>
          <w:rFonts w:ascii="Times New Roman" w:hAnsi="Times New Roman" w:cs="Times New Roman"/>
          <w:b/>
          <w:bCs/>
          <w:lang w:val="es-EC"/>
        </w:rPr>
        <w:t xml:space="preserve">Fuente: </w:t>
      </w:r>
      <w:r>
        <w:rPr>
          <w:rFonts w:ascii="Times New Roman" w:hAnsi="Times New Roman" w:cs="Times New Roman"/>
          <w:lang w:val="es-EC"/>
        </w:rPr>
        <w:t>Elaboración propia</w:t>
      </w:r>
    </w:p>
    <w:p w14:paraId="3F9725AE" w14:textId="77777777" w:rsidR="00C15B6B" w:rsidRDefault="00000000">
      <w:pPr>
        <w:jc w:val="both"/>
        <w:rPr>
          <w:lang w:val="es-ES"/>
        </w:rPr>
      </w:pPr>
      <w:r>
        <w:rPr>
          <w:lang w:val="es-ES"/>
        </w:rPr>
        <w:t>Gráfico 2: Resultados del grupo de control. Un histograma refleja una distribución sesgada hacia calificaciones bajas (1–5, 50% de los estudiantes), evidenciando dificultades en razonamiento abstracto y problemas no rutinarios.</w:t>
      </w:r>
    </w:p>
    <w:p w14:paraId="248D4DB8" w14:textId="77777777" w:rsidR="00C15B6B" w:rsidRDefault="00C15B6B">
      <w:pPr>
        <w:pStyle w:val="Sinespaciado"/>
        <w:jc w:val="both"/>
        <w:rPr>
          <w:rFonts w:ascii="Times New Roman" w:hAnsi="Times New Roman" w:cs="Times New Roman"/>
          <w:lang w:val="es-ES"/>
        </w:rPr>
      </w:pPr>
    </w:p>
    <w:p w14:paraId="5BEB4696" w14:textId="77777777" w:rsidR="00C15B6B" w:rsidRDefault="00000000">
      <w:pPr>
        <w:pStyle w:val="Sinespaciado"/>
        <w:jc w:val="both"/>
        <w:rPr>
          <w:rFonts w:ascii="Times New Roman" w:hAnsi="Times New Roman" w:cs="Times New Roman"/>
          <w:lang w:val="es-EC"/>
        </w:rPr>
      </w:pPr>
      <w:r>
        <w:rPr>
          <w:rFonts w:ascii="Times New Roman" w:hAnsi="Times New Roman" w:cs="Times New Roman"/>
          <w:lang w:val="es-EC"/>
        </w:rPr>
        <w:t xml:space="preserve">Gráfico 2.  </w:t>
      </w:r>
      <w:r>
        <w:rPr>
          <w:rFonts w:ascii="Times New Roman" w:hAnsi="Times New Roman" w:cs="Times New Roman"/>
          <w:i/>
          <w:iCs/>
          <w:lang w:val="es-EC"/>
        </w:rPr>
        <w:t>Resultados del grupo de control</w:t>
      </w:r>
    </w:p>
    <w:p w14:paraId="6BFFD1EA" w14:textId="77777777" w:rsidR="00C15B6B" w:rsidRDefault="00000000">
      <w:pPr>
        <w:pStyle w:val="Sinespaciado"/>
        <w:jc w:val="both"/>
        <w:rPr>
          <w:rFonts w:ascii="Times New Roman" w:hAnsi="Times New Roman" w:cs="Times New Roman"/>
          <w:lang w:val="es-EC"/>
        </w:rPr>
      </w:pPr>
      <w:r>
        <w:rPr>
          <w:rFonts w:ascii="Times New Roman" w:hAnsi="Times New Roman" w:cs="Times New Roman"/>
          <w:noProof/>
        </w:rPr>
        <w:lastRenderedPageBreak/>
        <w:drawing>
          <wp:inline distT="0" distB="0" distL="0" distR="0" wp14:anchorId="00B552FC" wp14:editId="473D4392">
            <wp:extent cx="4228465" cy="2293620"/>
            <wp:effectExtent l="0" t="0" r="635" b="0"/>
            <wp:docPr id="8131424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42420" name="Imagen 1"/>
                    <pic:cNvPicPr>
                      <a:picLocks noChangeAspect="1"/>
                    </pic:cNvPicPr>
                  </pic:nvPicPr>
                  <pic:blipFill>
                    <a:blip r:embed="rId12"/>
                    <a:stretch>
                      <a:fillRect/>
                    </a:stretch>
                  </pic:blipFill>
                  <pic:spPr>
                    <a:xfrm>
                      <a:off x="0" y="0"/>
                      <a:ext cx="4266928" cy="2314156"/>
                    </a:xfrm>
                    <a:prstGeom prst="rect">
                      <a:avLst/>
                    </a:prstGeom>
                  </pic:spPr>
                </pic:pic>
              </a:graphicData>
            </a:graphic>
          </wp:inline>
        </w:drawing>
      </w:r>
    </w:p>
    <w:p w14:paraId="5024EDA6" w14:textId="77777777" w:rsidR="00C15B6B" w:rsidRDefault="00000000">
      <w:pPr>
        <w:pStyle w:val="Sinespaciado"/>
        <w:jc w:val="both"/>
        <w:rPr>
          <w:rFonts w:ascii="Times New Roman" w:hAnsi="Times New Roman" w:cs="Times New Roman"/>
          <w:lang w:val="es-EC"/>
        </w:rPr>
      </w:pPr>
      <w:r>
        <w:rPr>
          <w:rFonts w:ascii="Times New Roman" w:hAnsi="Times New Roman" w:cs="Times New Roman"/>
          <w:b/>
          <w:bCs/>
          <w:lang w:val="es-EC"/>
        </w:rPr>
        <w:t xml:space="preserve">Fuente: </w:t>
      </w:r>
      <w:r>
        <w:rPr>
          <w:rFonts w:ascii="Times New Roman" w:hAnsi="Times New Roman" w:cs="Times New Roman"/>
          <w:lang w:val="es-EC"/>
        </w:rPr>
        <w:t>Elaboración propia</w:t>
      </w:r>
    </w:p>
    <w:p w14:paraId="33BDEC05" w14:textId="77777777" w:rsidR="00C15B6B" w:rsidRDefault="00C15B6B">
      <w:pPr>
        <w:pStyle w:val="Sinespaciado"/>
        <w:jc w:val="both"/>
        <w:rPr>
          <w:rFonts w:ascii="Times New Roman" w:hAnsi="Times New Roman" w:cs="Times New Roman"/>
          <w:lang w:val="es-EC"/>
        </w:rPr>
      </w:pPr>
    </w:p>
    <w:p w14:paraId="1814592E" w14:textId="77777777" w:rsidR="00C15B6B" w:rsidRDefault="00000000">
      <w:pPr>
        <w:jc w:val="both"/>
        <w:rPr>
          <w:lang w:val="es-EC"/>
        </w:rPr>
      </w:pPr>
      <w:r>
        <w:rPr>
          <w:lang w:val="es-ES"/>
        </w:rPr>
        <w:t>Las estrategias fomentaron el pensamiento crítico al requerir que los estudiantes analizaran problemas desde múltiples perspectivas (ejemplo, en talleres, evaluar diferentes métodos para resolver ecuaciones) y tomaran decisiones informadas en proyectos (ejemplo, optimizar recursos en un plan de ahorro). La resolución de problemas en contextos cotidianos se fortaleció mediante proyectos que simulaban escenarios reales, mientras que los juegos promovieron habilidades colaborativas y de toma de decisiones rápidas, aplicables a entornos laborales.</w:t>
      </w:r>
    </w:p>
    <w:p w14:paraId="5FADF9A0" w14:textId="77777777" w:rsidR="00C15B6B" w:rsidRDefault="00000000">
      <w:pPr>
        <w:jc w:val="center"/>
        <w:rPr>
          <w:rFonts w:cs="Times New Roman"/>
          <w:b/>
          <w:bCs/>
          <w:szCs w:val="24"/>
          <w:lang w:val="es-EC"/>
        </w:rPr>
      </w:pPr>
      <w:r>
        <w:rPr>
          <w:rFonts w:cs="Times New Roman"/>
          <w:b/>
          <w:bCs/>
          <w:szCs w:val="24"/>
          <w:lang w:val="es-EC"/>
        </w:rPr>
        <w:t>DISCUSIÓN</w:t>
      </w:r>
    </w:p>
    <w:p w14:paraId="304E46A4" w14:textId="77777777" w:rsidR="00C15B6B" w:rsidRDefault="00000000">
      <w:pPr>
        <w:jc w:val="both"/>
        <w:rPr>
          <w:rFonts w:cs="Times New Roman"/>
          <w:szCs w:val="24"/>
          <w:lang w:val="es-EC"/>
        </w:rPr>
      </w:pPr>
      <w:r>
        <w:rPr>
          <w:rFonts w:cs="Times New Roman"/>
          <w:szCs w:val="24"/>
          <w:lang w:val="es-EC"/>
        </w:rPr>
        <w:t xml:space="preserve">La investigación destacó la relevancia de la inteligencia lógico-matemática en la educación secundaria, apoyándose en las teorías de Gardner (1983). Se validaron empíricamente las propuestas didácticas del Aprendizaje Basado en Proyectos (ABP) y el constructivismo, mostrando su efectividad en diversos contextos socioeconómicos. La inclusión de tecnologías educativas, ¡como </w:t>
      </w:r>
      <w:proofErr w:type="spellStart"/>
      <w:r>
        <w:rPr>
          <w:rFonts w:cs="Times New Roman"/>
          <w:szCs w:val="24"/>
          <w:lang w:val="es-EC"/>
        </w:rPr>
        <w:t>Kahoot</w:t>
      </w:r>
      <w:proofErr w:type="spellEnd"/>
      <w:r>
        <w:rPr>
          <w:rFonts w:cs="Times New Roman"/>
          <w:szCs w:val="24"/>
          <w:lang w:val="es-EC"/>
        </w:rPr>
        <w:t xml:space="preserve">! y GeoGebra, se alineó con las ideas contemporáneas sobre innovación en la enseñanza matemática. </w:t>
      </w:r>
    </w:p>
    <w:p w14:paraId="45F8E169" w14:textId="77777777" w:rsidR="00C15B6B" w:rsidRDefault="00000000">
      <w:pPr>
        <w:jc w:val="both"/>
        <w:rPr>
          <w:rFonts w:cs="Times New Roman"/>
          <w:szCs w:val="24"/>
          <w:lang w:val="es-EC"/>
        </w:rPr>
      </w:pPr>
      <w:r>
        <w:rPr>
          <w:rFonts w:cs="Times New Roman"/>
          <w:szCs w:val="24"/>
          <w:lang w:val="es-EC"/>
        </w:rPr>
        <w:lastRenderedPageBreak/>
        <w:t>Los resultados mejoraron significativamente el rendimiento académico y la motivación estudiantil, con un promedio de calificaciones del grupo experimental (8,43) superando al grupo de comparación (5,60). Además, se redujeron las brechas en habilidades lógico-matemáticas, preparando a los estudiantes para disciplinas STEM. La investigación también se conectó con las ideas de Sternberg y Williams (1996), resaltando el impacto positivo de enfoques pedagógicos que fomentan el pensamiento crítico en contextos educativos específicos y adaptados a realidades locales.</w:t>
      </w:r>
    </w:p>
    <w:p w14:paraId="77EC5F32" w14:textId="77777777" w:rsidR="00C15B6B" w:rsidRDefault="00000000">
      <w:pPr>
        <w:jc w:val="both"/>
        <w:rPr>
          <w:rFonts w:cs="Times New Roman"/>
          <w:szCs w:val="24"/>
          <w:lang w:val="es-EC"/>
        </w:rPr>
      </w:pPr>
      <w:r>
        <w:rPr>
          <w:rFonts w:cs="Times New Roman"/>
          <w:szCs w:val="24"/>
          <w:lang w:val="es-EC"/>
        </w:rPr>
        <w:t xml:space="preserve">En relación con </w:t>
      </w:r>
      <w:proofErr w:type="spellStart"/>
      <w:r>
        <w:rPr>
          <w:rFonts w:cs="Times New Roman"/>
          <w:szCs w:val="24"/>
          <w:lang w:val="es-EC"/>
        </w:rPr>
        <w:t>Hiebert</w:t>
      </w:r>
      <w:proofErr w:type="spellEnd"/>
      <w:r>
        <w:rPr>
          <w:rFonts w:cs="Times New Roman"/>
          <w:szCs w:val="24"/>
          <w:lang w:val="es-EC"/>
        </w:rPr>
        <w:t xml:space="preserve"> y </w:t>
      </w:r>
      <w:proofErr w:type="spellStart"/>
      <w:r>
        <w:rPr>
          <w:rFonts w:cs="Times New Roman"/>
          <w:szCs w:val="24"/>
          <w:lang w:val="es-EC"/>
        </w:rPr>
        <w:t>Grouws</w:t>
      </w:r>
      <w:proofErr w:type="spellEnd"/>
      <w:r>
        <w:rPr>
          <w:rFonts w:cs="Times New Roman"/>
          <w:szCs w:val="24"/>
          <w:lang w:val="es-EC"/>
        </w:rPr>
        <w:t xml:space="preserve"> (2007), quienes concluyeron que los enfoques que trabajaban con la resolución de problemas eran los más adecuados para el desarrollo de habilidades matemáticas, los resultados de esta investigación no solo les igualaba en este principio, sino que iba más allá, incluyendo además recursos tecnológicos y actividades grupales que ayudaban a enriquecer el aprendizaje significativo. La diferencia estaba en la diferencia de generar unas estrategias más específicas que mostraban las debilidades desde el inicio, como la dificultad con problemas no rutinarios.</w:t>
      </w:r>
    </w:p>
    <w:p w14:paraId="420CEA24" w14:textId="77777777" w:rsidR="00C15B6B" w:rsidRDefault="00000000">
      <w:pPr>
        <w:jc w:val="both"/>
        <w:rPr>
          <w:rFonts w:cs="Times New Roman"/>
          <w:szCs w:val="24"/>
          <w:lang w:val="es-EC"/>
        </w:rPr>
      </w:pPr>
      <w:r>
        <w:rPr>
          <w:rFonts w:cs="Times New Roman"/>
          <w:szCs w:val="24"/>
          <w:lang w:val="es-EC"/>
        </w:rPr>
        <w:t>En este sentido, Schoenfeld (1985) concluyó que los alumnos que fueron formados con métodos que hicieron hincapié en el desarrollo del pensamiento crítico acabaron fortaleciendo su habilidad para resolver problemas. Las conclusiones de esta propuesta alcanzaban la misma afirmación, aunque esta investigación se distancia de la anterior al aplicar el ABP y la tecnología educativa juntos, lo cual le confería una escena innovadora que fomentaba todavía más el interés y el trabajo activo, características menos tratadas en el trabajo de Schoenfeld.</w:t>
      </w:r>
    </w:p>
    <w:p w14:paraId="047F2CFD" w14:textId="77777777" w:rsidR="00C15B6B" w:rsidRDefault="00000000">
      <w:pPr>
        <w:jc w:val="both"/>
        <w:rPr>
          <w:rFonts w:cs="Times New Roman"/>
          <w:szCs w:val="24"/>
          <w:lang w:val="es-EC"/>
        </w:rPr>
      </w:pPr>
      <w:r>
        <w:rPr>
          <w:rFonts w:cs="Times New Roman"/>
          <w:szCs w:val="24"/>
          <w:lang w:val="es-EC"/>
        </w:rPr>
        <w:t xml:space="preserve">Por otro lado, las propuestas de Sarmiento-Rojas et al. (2023) sobre el desarrollo de pensamientos numérico-variacional, espacial-geometría y aleatorio que fueron defendidas en esta investigación resonaron con esta tesis en la aplicación de proyectos integradores que establecieron la conexión entre conceptos matemáticos y contextos reales, pero la tesis fue más allá al poner en práctica estas propuestas </w:t>
      </w:r>
      <w:r>
        <w:rPr>
          <w:rFonts w:cs="Times New Roman"/>
          <w:szCs w:val="24"/>
          <w:lang w:val="es-EC"/>
        </w:rPr>
        <w:lastRenderedPageBreak/>
        <w:t xml:space="preserve">en una ubicación concreta al  evaluar su impacto con un </w:t>
      </w:r>
      <w:proofErr w:type="spellStart"/>
      <w:r>
        <w:rPr>
          <w:rFonts w:cs="Times New Roman"/>
          <w:szCs w:val="24"/>
          <w:lang w:val="es-EC"/>
        </w:rPr>
        <w:t>cuasi-experimento</w:t>
      </w:r>
      <w:proofErr w:type="spellEnd"/>
      <w:r>
        <w:rPr>
          <w:rFonts w:cs="Times New Roman"/>
          <w:szCs w:val="24"/>
          <w:lang w:val="es-EC"/>
        </w:rPr>
        <w:t>, proporcionando así evidencias más robustas en contextos acotados.</w:t>
      </w:r>
    </w:p>
    <w:p w14:paraId="1DEDAB72" w14:textId="77777777" w:rsidR="00C15B6B" w:rsidRDefault="00000000">
      <w:pPr>
        <w:jc w:val="both"/>
        <w:rPr>
          <w:rFonts w:cs="Times New Roman"/>
          <w:szCs w:val="24"/>
          <w:lang w:val="es-EC"/>
        </w:rPr>
      </w:pPr>
      <w:r>
        <w:rPr>
          <w:rFonts w:cs="Times New Roman"/>
          <w:szCs w:val="24"/>
          <w:lang w:val="es-EC"/>
        </w:rPr>
        <w:t xml:space="preserve">Finalmente, el estudio de Santos Fernández (2024), que defendía la puesta en marcha de inteligencia artificial y realidad aumentada, compartieron la raíz innovadora de esta investigación, aunque los resultados de este trabajo fueron más evidentes debido a que ponían en práctica herramientas más asequibles como GeoGebra y </w:t>
      </w:r>
      <w:proofErr w:type="spellStart"/>
      <w:r>
        <w:rPr>
          <w:rFonts w:cs="Times New Roman"/>
          <w:szCs w:val="24"/>
          <w:lang w:val="es-EC"/>
        </w:rPr>
        <w:t>Kahoot</w:t>
      </w:r>
      <w:proofErr w:type="spellEnd"/>
      <w:r>
        <w:rPr>
          <w:rFonts w:cs="Times New Roman"/>
          <w:szCs w:val="24"/>
          <w:lang w:val="es-EC"/>
        </w:rPr>
        <w:t>, cuyo uso es más realizable en instituciones que cuentan con recursos limitados, lo que supuso además una ventaja en la aplicación práctica respecto de las propuestas con mayor pretensión de Santos Fernández.</w:t>
      </w:r>
    </w:p>
    <w:p w14:paraId="41D6FD78" w14:textId="77777777" w:rsidR="00C15B6B" w:rsidRDefault="00000000">
      <w:pPr>
        <w:jc w:val="both"/>
        <w:rPr>
          <w:rFonts w:cs="Times New Roman"/>
          <w:szCs w:val="24"/>
          <w:lang w:val="es-EC"/>
        </w:rPr>
      </w:pPr>
      <w:r>
        <w:rPr>
          <w:rFonts w:cs="Times New Roman"/>
          <w:szCs w:val="24"/>
          <w:lang w:val="es-EC"/>
        </w:rPr>
        <w:t xml:space="preserve">La investigación demuestra una clara mejora en las calificaciones del grupo experimental (promedio 8,43) en comparación con el grupo de control (5,60), validando la hipótesis de que las estrategias didácticas aplicadas potenciaban la inteligencia lógico-matemática y la resolución de problemas. Se observó que el 68,67% de los estudiantes del grupo experimental alcanzaron calificaciones promedias entre 8 y 13, mientras que en el grupo de comparación solo el 50% superó el 5. Las deficiencias en este último grupo incluían la falta de estrategias para abordar problemas no rutinarios y carencias en razonamiento abstracto. Además, el aumento de motivación y participación en el grupo experimental se alinea con los hallazgos de </w:t>
      </w:r>
      <w:proofErr w:type="spellStart"/>
      <w:r>
        <w:rPr>
          <w:rFonts w:cs="Times New Roman"/>
          <w:szCs w:val="24"/>
          <w:lang w:val="es-EC"/>
        </w:rPr>
        <w:t>Hmelo</w:t>
      </w:r>
      <w:proofErr w:type="spellEnd"/>
      <w:r>
        <w:rPr>
          <w:rFonts w:cs="Times New Roman"/>
          <w:szCs w:val="24"/>
          <w:lang w:val="es-EC"/>
        </w:rPr>
        <w:t>-Silver (2004), resaltando la importancia del aprendizaje basado en problemas (ABP) en contextos prácticos reales.</w:t>
      </w:r>
    </w:p>
    <w:p w14:paraId="6FC6C240" w14:textId="77777777" w:rsidR="00C15B6B" w:rsidRDefault="00000000">
      <w:pPr>
        <w:jc w:val="center"/>
        <w:rPr>
          <w:rFonts w:cs="Times New Roman"/>
          <w:b/>
          <w:bCs/>
          <w:szCs w:val="24"/>
          <w:lang w:val="es-EC"/>
        </w:rPr>
      </w:pPr>
      <w:r>
        <w:rPr>
          <w:rFonts w:cs="Times New Roman"/>
          <w:b/>
          <w:bCs/>
          <w:szCs w:val="24"/>
          <w:lang w:val="es-EC"/>
        </w:rPr>
        <w:t>CONCLUSIONES</w:t>
      </w:r>
    </w:p>
    <w:p w14:paraId="37171367" w14:textId="77777777" w:rsidR="00C15B6B" w:rsidRDefault="00000000">
      <w:pPr>
        <w:jc w:val="both"/>
        <w:rPr>
          <w:rFonts w:cs="Times New Roman"/>
          <w:szCs w:val="24"/>
          <w:lang w:val="es-EC"/>
        </w:rPr>
      </w:pPr>
      <w:r>
        <w:rPr>
          <w:rFonts w:cs="Times New Roman"/>
          <w:szCs w:val="24"/>
          <w:lang w:val="es-EC"/>
        </w:rPr>
        <w:t xml:space="preserve">La investigación realizada evidenció, a través de un </w:t>
      </w:r>
      <w:proofErr w:type="spellStart"/>
      <w:r>
        <w:rPr>
          <w:rFonts w:cs="Times New Roman"/>
          <w:szCs w:val="24"/>
          <w:lang w:val="es-EC"/>
        </w:rPr>
        <w:t>cuasi-experimento</w:t>
      </w:r>
      <w:proofErr w:type="spellEnd"/>
      <w:r>
        <w:rPr>
          <w:rFonts w:cs="Times New Roman"/>
          <w:szCs w:val="24"/>
          <w:lang w:val="es-EC"/>
        </w:rPr>
        <w:t xml:space="preserve"> realizado en la Unidad Educativa Fiscal Atahualpa, la efectividad de las estrategias didácticas diseñadas para potenciar la inteligencia lógico-matemática y la capacidad de resolución de problemas. El grupo experimental, compuesto por 49 estudiantes de segundo de Bachillerato Ciencias, participó en talleres de resolución de problemas, ¡juegos </w:t>
      </w:r>
      <w:r>
        <w:rPr>
          <w:rFonts w:cs="Times New Roman"/>
          <w:szCs w:val="24"/>
          <w:lang w:val="es-EC"/>
        </w:rPr>
        <w:lastRenderedPageBreak/>
        <w:t xml:space="preserve">matemáticos con herramientas como </w:t>
      </w:r>
      <w:proofErr w:type="spellStart"/>
      <w:r>
        <w:rPr>
          <w:rFonts w:cs="Times New Roman"/>
          <w:szCs w:val="24"/>
          <w:lang w:val="es-EC"/>
        </w:rPr>
        <w:t>Kahoot</w:t>
      </w:r>
      <w:proofErr w:type="spellEnd"/>
      <w:r>
        <w:rPr>
          <w:rFonts w:cs="Times New Roman"/>
          <w:szCs w:val="24"/>
          <w:lang w:val="es-EC"/>
        </w:rPr>
        <w:t>! y GeoGebra, y proyectos integradores basados en un enfoque constructivista y el aprendizaje basado en problemas (ABP). Este grupo alcanzó un promedio de 8,43 en una evaluación estandarizada de 10 problemas matemáticos, superando significativamente al grupo de comparación, formado por 49 estudiantes de segundo de Bachillerato Técnico, que obtuvo un promedio de 5,60 sin recibir la intervención.</w:t>
      </w:r>
    </w:p>
    <w:p w14:paraId="0B501D87" w14:textId="77777777" w:rsidR="00C15B6B" w:rsidRDefault="00000000">
      <w:pPr>
        <w:jc w:val="both"/>
        <w:rPr>
          <w:rFonts w:cs="Times New Roman"/>
          <w:szCs w:val="24"/>
          <w:lang w:val="es-EC"/>
        </w:rPr>
      </w:pPr>
      <w:r>
        <w:rPr>
          <w:rFonts w:cs="Times New Roman"/>
          <w:szCs w:val="24"/>
          <w:lang w:val="es-EC"/>
        </w:rPr>
        <w:t>La distribución de notas mostró que el 68,67% de los estudiantes del grupo experimental logró calificaciones entre 8 y 13, mientras que el 50% del grupo de comparación no superó el 5, reflejando dificultades persistentes en razonamiento abstracto y resolución de problemas no rutinarios. Estas estrategias no solo mejoraron el rendimiento académico, sino que también incrementaron la motivación y participación estudiantil, abordando las debilidades identificadas en el diagnóstico inicial, como la falta de estrategias efectivas y la comprensión superficial de conceptos matemáticos. Los resultados confirmaron la hipótesis alternativa, demostrando que las intervenciones potenciaron significativamente las habilidades lógico-matemáticas. Este estudio destacó el valor de enfoques pedagógicos activos y tecnológicos en contextos educativos diversos, sentando bases para preparar a los estudiantes para desafíos académicos y profesionales en áreas STEM.</w:t>
      </w:r>
    </w:p>
    <w:p w14:paraId="1B8985FB" w14:textId="77777777" w:rsidR="00C15B6B" w:rsidRDefault="00000000">
      <w:pPr>
        <w:jc w:val="center"/>
        <w:rPr>
          <w:rFonts w:cs="Times New Roman"/>
          <w:b/>
          <w:bCs/>
          <w:szCs w:val="24"/>
          <w:lang w:val="es-EC"/>
        </w:rPr>
      </w:pPr>
      <w:r>
        <w:rPr>
          <w:rFonts w:cs="Times New Roman"/>
          <w:b/>
          <w:bCs/>
          <w:szCs w:val="24"/>
          <w:lang w:val="es-EC"/>
        </w:rPr>
        <w:t>REFERENCIAS BIBLIOGRÁFICAS</w:t>
      </w:r>
    </w:p>
    <w:p w14:paraId="05E5C208" w14:textId="77777777" w:rsidR="00C15B6B" w:rsidRDefault="00000000">
      <w:pPr>
        <w:ind w:left="720" w:hanging="720"/>
        <w:jc w:val="both"/>
        <w:rPr>
          <w:rFonts w:cs="Times New Roman"/>
          <w:szCs w:val="24"/>
        </w:rPr>
      </w:pPr>
      <w:proofErr w:type="spellStart"/>
      <w:r>
        <w:rPr>
          <w:rFonts w:cs="Times New Roman"/>
          <w:szCs w:val="24"/>
          <w:lang w:val="es-EC"/>
        </w:rPr>
        <w:t>Barrows</w:t>
      </w:r>
      <w:proofErr w:type="spellEnd"/>
      <w:r>
        <w:rPr>
          <w:rFonts w:cs="Times New Roman"/>
          <w:szCs w:val="24"/>
          <w:lang w:val="es-EC"/>
        </w:rPr>
        <w:t xml:space="preserve">, H. S. (1986). </w:t>
      </w:r>
      <w:r>
        <w:rPr>
          <w:rFonts w:cs="Times New Roman"/>
          <w:szCs w:val="24"/>
        </w:rPr>
        <w:t xml:space="preserve">A taxonomy of problem-based learning methods. </w:t>
      </w:r>
      <w:r>
        <w:rPr>
          <w:rFonts w:cs="Times New Roman"/>
          <w:i/>
          <w:iCs/>
          <w:szCs w:val="24"/>
        </w:rPr>
        <w:t>Medical Education, 20</w:t>
      </w:r>
      <w:r>
        <w:rPr>
          <w:rFonts w:cs="Times New Roman"/>
          <w:szCs w:val="24"/>
        </w:rPr>
        <w:t xml:space="preserve">(6), 481–486. </w:t>
      </w:r>
      <w:hyperlink r:id="rId13" w:history="1">
        <w:r>
          <w:rPr>
            <w:rStyle w:val="Hipervnculo"/>
            <w:rFonts w:cs="Times New Roman"/>
            <w:szCs w:val="24"/>
          </w:rPr>
          <w:t>https://doi.org/10.1111/j.1365-2923.1986.tb01386.x</w:t>
        </w:r>
      </w:hyperlink>
    </w:p>
    <w:p w14:paraId="5A516A32" w14:textId="77777777" w:rsidR="00C15B6B" w:rsidRDefault="00000000">
      <w:pPr>
        <w:ind w:left="720" w:hanging="720"/>
        <w:jc w:val="both"/>
        <w:rPr>
          <w:rFonts w:cs="Times New Roman"/>
          <w:szCs w:val="24"/>
        </w:rPr>
      </w:pPr>
      <w:r>
        <w:rPr>
          <w:rFonts w:cs="Times New Roman"/>
          <w:szCs w:val="24"/>
        </w:rPr>
        <w:t xml:space="preserve">Ben-Chaim, D., </w:t>
      </w:r>
      <w:proofErr w:type="spellStart"/>
      <w:r>
        <w:rPr>
          <w:rFonts w:cs="Times New Roman"/>
          <w:szCs w:val="24"/>
        </w:rPr>
        <w:t>Lappan</w:t>
      </w:r>
      <w:proofErr w:type="spellEnd"/>
      <w:r>
        <w:rPr>
          <w:rFonts w:cs="Times New Roman"/>
          <w:szCs w:val="24"/>
        </w:rPr>
        <w:t xml:space="preserve">, G., &amp; </w:t>
      </w:r>
      <w:proofErr w:type="spellStart"/>
      <w:r>
        <w:rPr>
          <w:rFonts w:cs="Times New Roman"/>
          <w:szCs w:val="24"/>
        </w:rPr>
        <w:t>Houang</w:t>
      </w:r>
      <w:proofErr w:type="spellEnd"/>
      <w:r>
        <w:rPr>
          <w:rFonts w:cs="Times New Roman"/>
          <w:szCs w:val="24"/>
        </w:rPr>
        <w:t xml:space="preserve">, R. T. (1998). The effect of instruction on spatial visualization skills of middle school boys and girls. </w:t>
      </w:r>
      <w:r>
        <w:rPr>
          <w:rFonts w:cs="Times New Roman"/>
          <w:i/>
          <w:iCs/>
          <w:szCs w:val="24"/>
        </w:rPr>
        <w:t>American Educational Research Journal, 25</w:t>
      </w:r>
      <w:r>
        <w:rPr>
          <w:rFonts w:cs="Times New Roman"/>
          <w:szCs w:val="24"/>
        </w:rPr>
        <w:t xml:space="preserve">(1), 51–71. </w:t>
      </w:r>
      <w:hyperlink r:id="rId14" w:history="1">
        <w:r>
          <w:rPr>
            <w:rStyle w:val="Hipervnculo"/>
            <w:rFonts w:cs="Times New Roman"/>
            <w:szCs w:val="24"/>
          </w:rPr>
          <w:t>https://doi.org/10.3102/00028312025001051</w:t>
        </w:r>
      </w:hyperlink>
    </w:p>
    <w:p w14:paraId="0063F056" w14:textId="77777777" w:rsidR="00C15B6B" w:rsidRDefault="00000000">
      <w:pPr>
        <w:ind w:left="720" w:hanging="720"/>
        <w:jc w:val="both"/>
        <w:rPr>
          <w:rFonts w:cs="Times New Roman"/>
          <w:szCs w:val="24"/>
          <w:lang w:val="es-EC"/>
        </w:rPr>
      </w:pPr>
      <w:r>
        <w:rPr>
          <w:rFonts w:cs="Times New Roman"/>
          <w:szCs w:val="24"/>
        </w:rPr>
        <w:lastRenderedPageBreak/>
        <w:t xml:space="preserve">De </w:t>
      </w:r>
      <w:proofErr w:type="spellStart"/>
      <w:r>
        <w:rPr>
          <w:rFonts w:cs="Times New Roman"/>
          <w:szCs w:val="24"/>
        </w:rPr>
        <w:t>los</w:t>
      </w:r>
      <w:proofErr w:type="spellEnd"/>
      <w:r>
        <w:rPr>
          <w:rFonts w:cs="Times New Roman"/>
          <w:szCs w:val="24"/>
        </w:rPr>
        <w:t xml:space="preserve"> Ríos, P. (2018). </w:t>
      </w:r>
      <w:r>
        <w:rPr>
          <w:rFonts w:cs="Times New Roman"/>
          <w:szCs w:val="24"/>
          <w:lang w:val="es-EC"/>
        </w:rPr>
        <w:t>Retos de la educación matemática en el Ecuador: una mirada desde la práctica docente. Revista Latinoamericana de Educación Matemática, 31(2), 45–59.</w:t>
      </w:r>
    </w:p>
    <w:p w14:paraId="1507C380" w14:textId="77777777" w:rsidR="00C15B6B" w:rsidRDefault="00000000">
      <w:pPr>
        <w:ind w:left="720" w:hanging="720"/>
        <w:jc w:val="both"/>
        <w:rPr>
          <w:rFonts w:cs="Times New Roman"/>
          <w:szCs w:val="24"/>
        </w:rPr>
      </w:pPr>
      <w:r>
        <w:rPr>
          <w:rFonts w:cs="Times New Roman"/>
          <w:szCs w:val="24"/>
          <w:lang w:val="es-EC"/>
        </w:rPr>
        <w:t xml:space="preserve">Díaz, C., &amp; Pizarro, M. (2018). </w:t>
      </w:r>
      <w:r>
        <w:rPr>
          <w:rFonts w:cs="Times New Roman"/>
          <w:i/>
          <w:iCs/>
          <w:szCs w:val="24"/>
          <w:lang w:val="es-EC"/>
        </w:rPr>
        <w:t>El desarrollo del pensamiento lógico en la educación matemática</w:t>
      </w:r>
      <w:r>
        <w:rPr>
          <w:rFonts w:cs="Times New Roman"/>
          <w:szCs w:val="24"/>
          <w:lang w:val="es-EC"/>
        </w:rPr>
        <w:t xml:space="preserve">. </w:t>
      </w:r>
      <w:r>
        <w:rPr>
          <w:rFonts w:cs="Times New Roman"/>
          <w:szCs w:val="24"/>
        </w:rPr>
        <w:t xml:space="preserve">Editorial </w:t>
      </w:r>
      <w:proofErr w:type="spellStart"/>
      <w:r>
        <w:rPr>
          <w:rFonts w:cs="Times New Roman"/>
          <w:szCs w:val="24"/>
        </w:rPr>
        <w:t>Académica</w:t>
      </w:r>
      <w:proofErr w:type="spellEnd"/>
      <w:r>
        <w:rPr>
          <w:rFonts w:cs="Times New Roman"/>
          <w:szCs w:val="24"/>
        </w:rPr>
        <w:t xml:space="preserve"> Española.</w:t>
      </w:r>
    </w:p>
    <w:p w14:paraId="65E3B813" w14:textId="77777777" w:rsidR="00C15B6B" w:rsidRDefault="00000000">
      <w:pPr>
        <w:ind w:left="720" w:hanging="720"/>
        <w:jc w:val="both"/>
        <w:rPr>
          <w:rFonts w:cs="Times New Roman"/>
          <w:szCs w:val="24"/>
        </w:rPr>
      </w:pPr>
      <w:r>
        <w:rPr>
          <w:rFonts w:cs="Times New Roman"/>
          <w:szCs w:val="24"/>
        </w:rPr>
        <w:t xml:space="preserve">Dweck, C. S. (2006). </w:t>
      </w:r>
      <w:r>
        <w:rPr>
          <w:rFonts w:cs="Times New Roman"/>
          <w:i/>
          <w:iCs/>
          <w:szCs w:val="24"/>
        </w:rPr>
        <w:t>Mindset: The new psychology of success</w:t>
      </w:r>
      <w:r>
        <w:rPr>
          <w:rFonts w:cs="Times New Roman"/>
          <w:szCs w:val="24"/>
        </w:rPr>
        <w:t>. Random House.</w:t>
      </w:r>
    </w:p>
    <w:p w14:paraId="6C19B069" w14:textId="77777777" w:rsidR="00C15B6B" w:rsidRDefault="00000000">
      <w:pPr>
        <w:ind w:left="720" w:hanging="720"/>
        <w:jc w:val="both"/>
        <w:rPr>
          <w:rFonts w:cs="Times New Roman"/>
          <w:szCs w:val="24"/>
        </w:rPr>
      </w:pPr>
      <w:r>
        <w:rPr>
          <w:rFonts w:cs="Times New Roman"/>
          <w:szCs w:val="24"/>
        </w:rPr>
        <w:t xml:space="preserve">Ennis, R. H. (1996). Critical thinking dispositions: Their nature and </w:t>
      </w:r>
      <w:proofErr w:type="spellStart"/>
      <w:r>
        <w:rPr>
          <w:rFonts w:cs="Times New Roman"/>
          <w:szCs w:val="24"/>
        </w:rPr>
        <w:t>assessability</w:t>
      </w:r>
      <w:proofErr w:type="spellEnd"/>
      <w:r>
        <w:rPr>
          <w:rFonts w:cs="Times New Roman"/>
          <w:szCs w:val="24"/>
        </w:rPr>
        <w:t xml:space="preserve">. </w:t>
      </w:r>
      <w:r>
        <w:rPr>
          <w:rFonts w:cs="Times New Roman"/>
          <w:i/>
          <w:iCs/>
          <w:szCs w:val="24"/>
        </w:rPr>
        <w:t>Informal Logic, 18</w:t>
      </w:r>
      <w:r>
        <w:rPr>
          <w:rFonts w:cs="Times New Roman"/>
          <w:szCs w:val="24"/>
        </w:rPr>
        <w:t xml:space="preserve">(2), 165–182. </w:t>
      </w:r>
      <w:hyperlink r:id="rId15" w:history="1">
        <w:r>
          <w:rPr>
            <w:rStyle w:val="Hipervnculo"/>
            <w:rFonts w:cs="Times New Roman"/>
            <w:szCs w:val="24"/>
          </w:rPr>
          <w:t>https://doi.org/10.22329/il.v18i2.2378</w:t>
        </w:r>
      </w:hyperlink>
    </w:p>
    <w:p w14:paraId="309193B2" w14:textId="77777777" w:rsidR="00C15B6B" w:rsidRDefault="00000000">
      <w:pPr>
        <w:ind w:left="720" w:hanging="720"/>
        <w:jc w:val="both"/>
        <w:rPr>
          <w:rFonts w:cs="Times New Roman"/>
          <w:szCs w:val="24"/>
        </w:rPr>
      </w:pPr>
      <w:r>
        <w:rPr>
          <w:rFonts w:cs="Times New Roman"/>
          <w:szCs w:val="24"/>
        </w:rPr>
        <w:t xml:space="preserve">Fosnot, C. T. (2005). </w:t>
      </w:r>
      <w:r>
        <w:rPr>
          <w:rFonts w:cs="Times New Roman"/>
          <w:i/>
          <w:iCs/>
          <w:szCs w:val="24"/>
        </w:rPr>
        <w:t>Constructivism: Theory, perspectives, and practice</w:t>
      </w:r>
      <w:r>
        <w:rPr>
          <w:rFonts w:cs="Times New Roman"/>
          <w:szCs w:val="24"/>
        </w:rPr>
        <w:t xml:space="preserve"> (2nd ed.). Teachers College Press.</w:t>
      </w:r>
    </w:p>
    <w:p w14:paraId="5BDBEEB3" w14:textId="77777777" w:rsidR="00C15B6B" w:rsidRDefault="00000000">
      <w:pPr>
        <w:ind w:left="720" w:hanging="720"/>
        <w:jc w:val="both"/>
        <w:rPr>
          <w:rFonts w:cs="Times New Roman"/>
          <w:szCs w:val="24"/>
        </w:rPr>
      </w:pPr>
      <w:r>
        <w:rPr>
          <w:rFonts w:cs="Times New Roman"/>
          <w:szCs w:val="24"/>
        </w:rPr>
        <w:t xml:space="preserve">Gardner, H. (1983). </w:t>
      </w:r>
      <w:r>
        <w:rPr>
          <w:rFonts w:cs="Times New Roman"/>
          <w:i/>
          <w:iCs/>
          <w:szCs w:val="24"/>
        </w:rPr>
        <w:t>Frames of mind: The theory of multiple intelligences</w:t>
      </w:r>
      <w:r>
        <w:rPr>
          <w:rFonts w:cs="Times New Roman"/>
          <w:szCs w:val="24"/>
        </w:rPr>
        <w:t>. Basic Books.</w:t>
      </w:r>
    </w:p>
    <w:p w14:paraId="1F613D78" w14:textId="77777777" w:rsidR="00C15B6B" w:rsidRDefault="00000000">
      <w:pPr>
        <w:ind w:left="720" w:hanging="720"/>
        <w:jc w:val="both"/>
        <w:rPr>
          <w:rFonts w:cs="Times New Roman"/>
          <w:szCs w:val="24"/>
        </w:rPr>
      </w:pPr>
      <w:r>
        <w:rPr>
          <w:rFonts w:cs="Times New Roman"/>
          <w:szCs w:val="24"/>
        </w:rPr>
        <w:t xml:space="preserve">Gardner, H. (1999). </w:t>
      </w:r>
      <w:r>
        <w:rPr>
          <w:rFonts w:cs="Times New Roman"/>
          <w:i/>
          <w:iCs/>
          <w:szCs w:val="24"/>
        </w:rPr>
        <w:t>Intelligence reframed: Multiple intelligences for the 21st century</w:t>
      </w:r>
      <w:r>
        <w:rPr>
          <w:rFonts w:cs="Times New Roman"/>
          <w:szCs w:val="24"/>
        </w:rPr>
        <w:t>. Basic Books.</w:t>
      </w:r>
    </w:p>
    <w:p w14:paraId="707FE268" w14:textId="77777777" w:rsidR="00C15B6B" w:rsidRDefault="00000000">
      <w:pPr>
        <w:ind w:left="720" w:hanging="720"/>
        <w:jc w:val="both"/>
        <w:rPr>
          <w:rFonts w:cs="Times New Roman"/>
          <w:szCs w:val="24"/>
        </w:rPr>
      </w:pPr>
      <w:r>
        <w:rPr>
          <w:rFonts w:cs="Times New Roman"/>
          <w:szCs w:val="24"/>
        </w:rPr>
        <w:t xml:space="preserve">Gardner, H., &amp; Hatch, T. (2011). </w:t>
      </w:r>
      <w:r>
        <w:rPr>
          <w:rFonts w:cs="Times New Roman"/>
          <w:i/>
          <w:iCs/>
          <w:szCs w:val="24"/>
        </w:rPr>
        <w:t>Multiple Intelligences Go to School: Educational Implications of the Theory of Multiple Intelligences. Educational Researcher</w:t>
      </w:r>
      <w:r>
        <w:rPr>
          <w:rFonts w:cs="Times New Roman"/>
          <w:szCs w:val="24"/>
        </w:rPr>
        <w:t>, 18(8), 4-9.</w:t>
      </w:r>
    </w:p>
    <w:p w14:paraId="751DAA5C" w14:textId="77777777" w:rsidR="00C15B6B" w:rsidRDefault="00000000">
      <w:pPr>
        <w:ind w:left="720" w:hanging="720"/>
        <w:jc w:val="both"/>
        <w:rPr>
          <w:rFonts w:cs="Times New Roman"/>
          <w:szCs w:val="24"/>
        </w:rPr>
      </w:pPr>
      <w:r>
        <w:rPr>
          <w:rFonts w:cs="Times New Roman"/>
          <w:szCs w:val="24"/>
        </w:rPr>
        <w:t xml:space="preserve">Geary, D. C. (1996). The evolution of mathematical abilities: A cognitive perspective. </w:t>
      </w:r>
      <w:r>
        <w:rPr>
          <w:rFonts w:cs="Times New Roman"/>
          <w:i/>
          <w:iCs/>
          <w:szCs w:val="24"/>
        </w:rPr>
        <w:t>Developmental Review, 16</w:t>
      </w:r>
      <w:r>
        <w:rPr>
          <w:rFonts w:cs="Times New Roman"/>
          <w:szCs w:val="24"/>
        </w:rPr>
        <w:t xml:space="preserve">(3), 231–266. </w:t>
      </w:r>
      <w:hyperlink r:id="rId16" w:history="1">
        <w:r>
          <w:rPr>
            <w:rStyle w:val="Hipervnculo"/>
            <w:rFonts w:cs="Times New Roman"/>
            <w:szCs w:val="24"/>
          </w:rPr>
          <w:t>https://doi.org/10.1006/drev.1996.0010</w:t>
        </w:r>
      </w:hyperlink>
    </w:p>
    <w:p w14:paraId="0E1D91EC" w14:textId="77777777" w:rsidR="00C15B6B" w:rsidRDefault="00000000">
      <w:pPr>
        <w:ind w:left="720" w:hanging="720"/>
        <w:jc w:val="both"/>
        <w:rPr>
          <w:rFonts w:cs="Times New Roman"/>
          <w:szCs w:val="24"/>
        </w:rPr>
      </w:pPr>
      <w:proofErr w:type="spellStart"/>
      <w:r>
        <w:rPr>
          <w:rFonts w:cs="Times New Roman"/>
          <w:szCs w:val="24"/>
        </w:rPr>
        <w:t>Grolnick</w:t>
      </w:r>
      <w:proofErr w:type="spellEnd"/>
      <w:r>
        <w:rPr>
          <w:rFonts w:cs="Times New Roman"/>
          <w:szCs w:val="24"/>
        </w:rPr>
        <w:t xml:space="preserve">, W. S., &amp; Ryan, R. M. (1989). Parent styles associated with children’s self-regulation and competence in school. </w:t>
      </w:r>
      <w:r>
        <w:rPr>
          <w:rFonts w:cs="Times New Roman"/>
          <w:i/>
          <w:iCs/>
          <w:szCs w:val="24"/>
        </w:rPr>
        <w:t>Journal of Educational Psychology, 81</w:t>
      </w:r>
      <w:r>
        <w:rPr>
          <w:rFonts w:cs="Times New Roman"/>
          <w:szCs w:val="24"/>
        </w:rPr>
        <w:t xml:space="preserve">(2), 143–154. </w:t>
      </w:r>
      <w:hyperlink r:id="rId17" w:history="1">
        <w:r>
          <w:rPr>
            <w:rStyle w:val="Hipervnculo"/>
            <w:rFonts w:cs="Times New Roman"/>
            <w:szCs w:val="24"/>
          </w:rPr>
          <w:t>https://doi.org/10.1037/0022-0663.81.2.143</w:t>
        </w:r>
      </w:hyperlink>
    </w:p>
    <w:p w14:paraId="1F73C003" w14:textId="77777777" w:rsidR="00C15B6B" w:rsidRDefault="00000000">
      <w:pPr>
        <w:ind w:left="720" w:hanging="720"/>
        <w:jc w:val="both"/>
        <w:rPr>
          <w:rFonts w:cs="Times New Roman"/>
          <w:szCs w:val="24"/>
        </w:rPr>
      </w:pPr>
      <w:r>
        <w:rPr>
          <w:rFonts w:cs="Times New Roman"/>
          <w:szCs w:val="24"/>
        </w:rPr>
        <w:lastRenderedPageBreak/>
        <w:t xml:space="preserve">Hattie, J. (2009). </w:t>
      </w:r>
      <w:r>
        <w:rPr>
          <w:rFonts w:cs="Times New Roman"/>
          <w:i/>
          <w:iCs/>
          <w:szCs w:val="24"/>
        </w:rPr>
        <w:t>Visible learning: A synthesis of over 800 meta-analyses relating to achievement</w:t>
      </w:r>
      <w:r>
        <w:rPr>
          <w:rFonts w:cs="Times New Roman"/>
          <w:szCs w:val="24"/>
        </w:rPr>
        <w:t>. Routledge.</w:t>
      </w:r>
    </w:p>
    <w:p w14:paraId="3699EC30" w14:textId="77777777" w:rsidR="00C15B6B" w:rsidRDefault="00000000">
      <w:pPr>
        <w:jc w:val="both"/>
      </w:pPr>
      <w:r>
        <w:t>Hiebert, J. (1986). Conceptual and procedural knowledge: The case of mathematics. Lawrence Erlbaum Associates.</w:t>
      </w:r>
    </w:p>
    <w:p w14:paraId="4A06B0A6" w14:textId="77777777" w:rsidR="00C15B6B" w:rsidRDefault="00000000">
      <w:pPr>
        <w:ind w:left="720" w:hanging="720"/>
        <w:jc w:val="both"/>
        <w:rPr>
          <w:rFonts w:cs="Times New Roman"/>
          <w:szCs w:val="24"/>
        </w:rPr>
      </w:pPr>
      <w:r>
        <w:rPr>
          <w:rFonts w:cs="Times New Roman"/>
          <w:szCs w:val="24"/>
        </w:rPr>
        <w:t xml:space="preserve">Hiebert, J., &amp; </w:t>
      </w:r>
      <w:proofErr w:type="spellStart"/>
      <w:r>
        <w:rPr>
          <w:rFonts w:cs="Times New Roman"/>
          <w:szCs w:val="24"/>
        </w:rPr>
        <w:t>Grouws</w:t>
      </w:r>
      <w:proofErr w:type="spellEnd"/>
      <w:r>
        <w:rPr>
          <w:rFonts w:cs="Times New Roman"/>
          <w:szCs w:val="24"/>
        </w:rPr>
        <w:t xml:space="preserve">, D. A. (2007). The effects of classroom mathematics teaching on students’ learning. In F. K. Lester (Ed.), </w:t>
      </w:r>
      <w:r>
        <w:rPr>
          <w:rFonts w:cs="Times New Roman"/>
          <w:i/>
          <w:iCs/>
          <w:szCs w:val="24"/>
        </w:rPr>
        <w:t>Second handbook of research on mathematics teaching and learning</w:t>
      </w:r>
      <w:r>
        <w:rPr>
          <w:rFonts w:cs="Times New Roman"/>
          <w:szCs w:val="24"/>
        </w:rPr>
        <w:t xml:space="preserve"> (pp. 371–404). Information Age Publishing.</w:t>
      </w:r>
    </w:p>
    <w:p w14:paraId="7DB3A785" w14:textId="77777777" w:rsidR="00C15B6B" w:rsidRDefault="00000000">
      <w:pPr>
        <w:ind w:left="720" w:hanging="720"/>
        <w:jc w:val="both"/>
        <w:rPr>
          <w:rFonts w:cs="Times New Roman"/>
          <w:szCs w:val="24"/>
        </w:rPr>
      </w:pPr>
      <w:proofErr w:type="spellStart"/>
      <w:r>
        <w:rPr>
          <w:rFonts w:cs="Times New Roman"/>
          <w:szCs w:val="24"/>
        </w:rPr>
        <w:t>Hmelo</w:t>
      </w:r>
      <w:proofErr w:type="spellEnd"/>
      <w:r>
        <w:rPr>
          <w:rFonts w:cs="Times New Roman"/>
          <w:szCs w:val="24"/>
        </w:rPr>
        <w:t xml:space="preserve">-Silver, C. E. (2004). Problem-based learning: What and how do students learn? </w:t>
      </w:r>
      <w:r>
        <w:rPr>
          <w:rFonts w:cs="Times New Roman"/>
          <w:i/>
          <w:iCs/>
          <w:szCs w:val="24"/>
        </w:rPr>
        <w:t>Educational Psychology Review, 16</w:t>
      </w:r>
      <w:r>
        <w:rPr>
          <w:rFonts w:cs="Times New Roman"/>
          <w:szCs w:val="24"/>
        </w:rPr>
        <w:t xml:space="preserve">(3), 235–266. </w:t>
      </w:r>
      <w:hyperlink r:id="rId18" w:history="1">
        <w:r>
          <w:rPr>
            <w:rStyle w:val="Hipervnculo"/>
            <w:rFonts w:cs="Times New Roman"/>
            <w:szCs w:val="24"/>
          </w:rPr>
          <w:t>https://doi.org/10.1023/B:EDPR.0000034022.16470.f3</w:t>
        </w:r>
      </w:hyperlink>
    </w:p>
    <w:p w14:paraId="702E83A3" w14:textId="77777777" w:rsidR="00C15B6B" w:rsidRDefault="00000000">
      <w:pPr>
        <w:ind w:left="720" w:hanging="720"/>
        <w:jc w:val="both"/>
        <w:rPr>
          <w:rFonts w:cs="Times New Roman"/>
          <w:szCs w:val="24"/>
        </w:rPr>
      </w:pPr>
      <w:r>
        <w:rPr>
          <w:rFonts w:cs="Times New Roman"/>
          <w:szCs w:val="24"/>
        </w:rPr>
        <w:t xml:space="preserve">Holyoak, K. J., &amp; Thagard, P. (1995). </w:t>
      </w:r>
      <w:r>
        <w:rPr>
          <w:rFonts w:cs="Times New Roman"/>
          <w:i/>
          <w:iCs/>
          <w:szCs w:val="24"/>
        </w:rPr>
        <w:t>Mental leaps: Analogy in creative thought</w:t>
      </w:r>
      <w:r>
        <w:rPr>
          <w:rFonts w:cs="Times New Roman"/>
          <w:szCs w:val="24"/>
        </w:rPr>
        <w:t>. MIT Press.</w:t>
      </w:r>
    </w:p>
    <w:p w14:paraId="437CFAD4" w14:textId="77777777" w:rsidR="00C15B6B" w:rsidRDefault="00000000">
      <w:pPr>
        <w:ind w:left="720" w:hanging="720"/>
        <w:jc w:val="both"/>
        <w:rPr>
          <w:rFonts w:cs="Times New Roman"/>
          <w:szCs w:val="24"/>
        </w:rPr>
      </w:pPr>
      <w:r>
        <w:rPr>
          <w:rFonts w:cs="Times New Roman"/>
          <w:szCs w:val="24"/>
        </w:rPr>
        <w:t xml:space="preserve">Johnson, D. W., Johnson, R. T., &amp; Holubec, E. J. (1998). </w:t>
      </w:r>
      <w:r>
        <w:rPr>
          <w:rFonts w:cs="Times New Roman"/>
          <w:i/>
          <w:iCs/>
          <w:szCs w:val="24"/>
        </w:rPr>
        <w:t>Cooperation in the classroom</w:t>
      </w:r>
      <w:r>
        <w:rPr>
          <w:rFonts w:cs="Times New Roman"/>
          <w:szCs w:val="24"/>
        </w:rPr>
        <w:t xml:space="preserve"> (7th ed.). Interaction Book Company.</w:t>
      </w:r>
    </w:p>
    <w:p w14:paraId="2CAF5F2C" w14:textId="77777777" w:rsidR="00C15B6B" w:rsidRDefault="00000000">
      <w:pPr>
        <w:ind w:left="720" w:hanging="720"/>
        <w:jc w:val="both"/>
        <w:rPr>
          <w:rFonts w:cs="Times New Roman"/>
          <w:szCs w:val="24"/>
        </w:rPr>
      </w:pPr>
      <w:r>
        <w:rPr>
          <w:rFonts w:cs="Times New Roman"/>
          <w:szCs w:val="24"/>
        </w:rPr>
        <w:t xml:space="preserve">Kaur, B. (2011). Mathematics education in Singapore: A snapshot. </w:t>
      </w:r>
      <w:r>
        <w:rPr>
          <w:rFonts w:cs="Times New Roman"/>
          <w:i/>
          <w:iCs/>
          <w:szCs w:val="24"/>
        </w:rPr>
        <w:t>ZDM Mathematics Education, 43</w:t>
      </w:r>
      <w:r>
        <w:rPr>
          <w:rFonts w:cs="Times New Roman"/>
          <w:szCs w:val="24"/>
        </w:rPr>
        <w:t xml:space="preserve">(1), 1–8. </w:t>
      </w:r>
      <w:hyperlink r:id="rId19" w:history="1">
        <w:r>
          <w:rPr>
            <w:rStyle w:val="Hipervnculo"/>
            <w:rFonts w:cs="Times New Roman"/>
            <w:szCs w:val="24"/>
          </w:rPr>
          <w:t>https://doi.org/10.1007/s11858-011-0310-5</w:t>
        </w:r>
      </w:hyperlink>
    </w:p>
    <w:p w14:paraId="5EE2F1C0" w14:textId="77777777" w:rsidR="00C15B6B" w:rsidRDefault="00000000">
      <w:pPr>
        <w:ind w:left="720" w:hanging="720"/>
        <w:jc w:val="both"/>
        <w:rPr>
          <w:rFonts w:cs="Times New Roman"/>
          <w:szCs w:val="24"/>
        </w:rPr>
      </w:pPr>
      <w:r>
        <w:rPr>
          <w:rFonts w:cs="Times New Roman"/>
          <w:szCs w:val="24"/>
        </w:rPr>
        <w:t xml:space="preserve">Kilpatrick, J., Swafford, J., &amp; Findell, B. (Eds.). (2001). </w:t>
      </w:r>
      <w:r>
        <w:rPr>
          <w:rFonts w:cs="Times New Roman"/>
          <w:i/>
          <w:iCs/>
          <w:szCs w:val="24"/>
        </w:rPr>
        <w:t>Adding it up: Helping children learn mathematics</w:t>
      </w:r>
      <w:r>
        <w:rPr>
          <w:rFonts w:cs="Times New Roman"/>
          <w:szCs w:val="24"/>
        </w:rPr>
        <w:t>. National Academy Press.</w:t>
      </w:r>
    </w:p>
    <w:p w14:paraId="436139A0" w14:textId="77777777" w:rsidR="00C15B6B" w:rsidRDefault="00000000">
      <w:pPr>
        <w:ind w:left="720" w:hanging="720"/>
        <w:jc w:val="both"/>
        <w:rPr>
          <w:rFonts w:cs="Times New Roman"/>
          <w:szCs w:val="24"/>
        </w:rPr>
      </w:pPr>
      <w:r>
        <w:rPr>
          <w:rFonts w:cs="Times New Roman"/>
          <w:szCs w:val="24"/>
        </w:rPr>
        <w:t xml:space="preserve">Larkin, J. H., &amp; Simon, H. A. (1987). Why a diagram is (sometimes) worth ten thousand words. </w:t>
      </w:r>
      <w:r>
        <w:rPr>
          <w:rFonts w:cs="Times New Roman"/>
          <w:i/>
          <w:iCs/>
          <w:szCs w:val="24"/>
        </w:rPr>
        <w:t>Cognitive Science, 11</w:t>
      </w:r>
      <w:r>
        <w:rPr>
          <w:rFonts w:cs="Times New Roman"/>
          <w:szCs w:val="24"/>
        </w:rPr>
        <w:t xml:space="preserve">(1), 65–100. </w:t>
      </w:r>
      <w:hyperlink r:id="rId20" w:history="1">
        <w:r>
          <w:rPr>
            <w:rStyle w:val="Hipervnculo"/>
            <w:rFonts w:cs="Times New Roman"/>
            <w:szCs w:val="24"/>
          </w:rPr>
          <w:t>https://doi.org/10.1016/S0364-0213(87)80026-5</w:t>
        </w:r>
      </w:hyperlink>
    </w:p>
    <w:p w14:paraId="03EC9807" w14:textId="77777777" w:rsidR="00C15B6B" w:rsidRDefault="00000000">
      <w:pPr>
        <w:ind w:left="720" w:hanging="720"/>
        <w:jc w:val="both"/>
        <w:rPr>
          <w:rFonts w:cs="Times New Roman"/>
          <w:szCs w:val="24"/>
        </w:rPr>
      </w:pPr>
      <w:r>
        <w:rPr>
          <w:rFonts w:cs="Times New Roman"/>
          <w:szCs w:val="24"/>
        </w:rPr>
        <w:lastRenderedPageBreak/>
        <w:t xml:space="preserve">Lester, F. K. (1980). Research on mathematical problem solving. In R. J. Shumway (Ed.), </w:t>
      </w:r>
      <w:r>
        <w:rPr>
          <w:rFonts w:cs="Times New Roman"/>
          <w:i/>
          <w:iCs/>
          <w:szCs w:val="24"/>
        </w:rPr>
        <w:t>Research in mathematics education</w:t>
      </w:r>
      <w:r>
        <w:rPr>
          <w:rFonts w:cs="Times New Roman"/>
          <w:szCs w:val="24"/>
        </w:rPr>
        <w:t xml:space="preserve"> (pp. 286–323). National Council of Teachers of Mathematics.</w:t>
      </w:r>
    </w:p>
    <w:p w14:paraId="26910369" w14:textId="77777777" w:rsidR="00C15B6B" w:rsidRDefault="00000000">
      <w:pPr>
        <w:ind w:left="720" w:hanging="720"/>
        <w:jc w:val="both"/>
        <w:rPr>
          <w:rFonts w:cs="Times New Roman"/>
          <w:szCs w:val="24"/>
        </w:rPr>
      </w:pPr>
      <w:r>
        <w:rPr>
          <w:rFonts w:cs="Times New Roman"/>
          <w:szCs w:val="24"/>
        </w:rPr>
        <w:t xml:space="preserve">Mayer, R. E. (1992). </w:t>
      </w:r>
      <w:r>
        <w:rPr>
          <w:rFonts w:cs="Times New Roman"/>
          <w:i/>
          <w:iCs/>
          <w:szCs w:val="24"/>
        </w:rPr>
        <w:t>Thinking, problem solving, cognition</w:t>
      </w:r>
      <w:r>
        <w:rPr>
          <w:rFonts w:cs="Times New Roman"/>
          <w:szCs w:val="24"/>
        </w:rPr>
        <w:t xml:space="preserve"> (2nd ed.). W.H. Freeman.</w:t>
      </w:r>
    </w:p>
    <w:p w14:paraId="243C95D5" w14:textId="77777777" w:rsidR="00C15B6B" w:rsidRDefault="00000000">
      <w:pPr>
        <w:ind w:left="720" w:hanging="720"/>
        <w:jc w:val="both"/>
        <w:rPr>
          <w:rFonts w:cs="Times New Roman"/>
          <w:szCs w:val="24"/>
          <w:lang w:val="es-EC"/>
        </w:rPr>
      </w:pPr>
      <w:r>
        <w:rPr>
          <w:rFonts w:cs="Times New Roman"/>
          <w:szCs w:val="24"/>
        </w:rPr>
        <w:t xml:space="preserve">Means, B., Toyama, Y., Murphy, R., </w:t>
      </w:r>
      <w:proofErr w:type="spellStart"/>
      <w:r>
        <w:rPr>
          <w:rFonts w:cs="Times New Roman"/>
          <w:szCs w:val="24"/>
        </w:rPr>
        <w:t>Bakia</w:t>
      </w:r>
      <w:proofErr w:type="spellEnd"/>
      <w:r>
        <w:rPr>
          <w:rFonts w:cs="Times New Roman"/>
          <w:szCs w:val="24"/>
        </w:rPr>
        <w:t xml:space="preserve">, M., &amp; Jones, K. (2009). </w:t>
      </w:r>
      <w:r>
        <w:rPr>
          <w:rFonts w:cs="Times New Roman"/>
          <w:i/>
          <w:iCs/>
          <w:szCs w:val="24"/>
        </w:rPr>
        <w:t>Evaluation of evidence-based practices in online learning: A meta-analysis and review of online learning studies</w:t>
      </w:r>
      <w:r>
        <w:rPr>
          <w:rFonts w:cs="Times New Roman"/>
          <w:szCs w:val="24"/>
        </w:rPr>
        <w:t xml:space="preserve">. </w:t>
      </w:r>
      <w:r>
        <w:rPr>
          <w:rFonts w:cs="Times New Roman"/>
          <w:szCs w:val="24"/>
          <w:lang w:val="es-EC"/>
        </w:rPr>
        <w:t xml:space="preserve">U.S. </w:t>
      </w:r>
      <w:proofErr w:type="spellStart"/>
      <w:r>
        <w:rPr>
          <w:rFonts w:cs="Times New Roman"/>
          <w:szCs w:val="24"/>
          <w:lang w:val="es-EC"/>
        </w:rPr>
        <w:t>Department</w:t>
      </w:r>
      <w:proofErr w:type="spellEnd"/>
      <w:r>
        <w:rPr>
          <w:rFonts w:cs="Times New Roman"/>
          <w:szCs w:val="24"/>
          <w:lang w:val="es-EC"/>
        </w:rPr>
        <w:t xml:space="preserve"> </w:t>
      </w:r>
      <w:proofErr w:type="spellStart"/>
      <w:r>
        <w:rPr>
          <w:rFonts w:cs="Times New Roman"/>
          <w:szCs w:val="24"/>
          <w:lang w:val="es-EC"/>
        </w:rPr>
        <w:t>of</w:t>
      </w:r>
      <w:proofErr w:type="spellEnd"/>
      <w:r>
        <w:rPr>
          <w:rFonts w:cs="Times New Roman"/>
          <w:szCs w:val="24"/>
          <w:lang w:val="es-EC"/>
        </w:rPr>
        <w:t xml:space="preserve"> </w:t>
      </w:r>
      <w:proofErr w:type="spellStart"/>
      <w:r>
        <w:rPr>
          <w:rFonts w:cs="Times New Roman"/>
          <w:szCs w:val="24"/>
          <w:lang w:val="es-EC"/>
        </w:rPr>
        <w:t>Education</w:t>
      </w:r>
      <w:proofErr w:type="spellEnd"/>
      <w:r>
        <w:rPr>
          <w:rFonts w:cs="Times New Roman"/>
          <w:szCs w:val="24"/>
          <w:lang w:val="es-EC"/>
        </w:rPr>
        <w:t>.</w:t>
      </w:r>
    </w:p>
    <w:p w14:paraId="434CD92E" w14:textId="77777777" w:rsidR="00C15B6B" w:rsidRDefault="00000000">
      <w:pPr>
        <w:ind w:left="720" w:hanging="720"/>
        <w:jc w:val="both"/>
        <w:rPr>
          <w:rFonts w:cs="Times New Roman"/>
          <w:szCs w:val="24"/>
          <w:lang w:val="es-EC"/>
        </w:rPr>
      </w:pPr>
      <w:r>
        <w:rPr>
          <w:rFonts w:cs="Times New Roman"/>
          <w:szCs w:val="24"/>
          <w:lang w:val="es-EC"/>
        </w:rPr>
        <w:t xml:space="preserve">Pérez, A., &amp; Mendoza, C. (2020). El impacto de la educación intercultural en el rendimiento académico de estudiantes en Ecuador. </w:t>
      </w:r>
      <w:proofErr w:type="spellStart"/>
      <w:r>
        <w:rPr>
          <w:rFonts w:cs="Times New Roman"/>
          <w:i/>
          <w:iCs/>
          <w:szCs w:val="24"/>
          <w:lang w:val="es-EC"/>
        </w:rPr>
        <w:t>Journal</w:t>
      </w:r>
      <w:proofErr w:type="spellEnd"/>
      <w:r>
        <w:rPr>
          <w:rFonts w:cs="Times New Roman"/>
          <w:i/>
          <w:iCs/>
          <w:szCs w:val="24"/>
          <w:lang w:val="es-EC"/>
        </w:rPr>
        <w:t xml:space="preserve"> </w:t>
      </w:r>
      <w:proofErr w:type="spellStart"/>
      <w:r>
        <w:rPr>
          <w:rFonts w:cs="Times New Roman"/>
          <w:i/>
          <w:iCs/>
          <w:szCs w:val="24"/>
          <w:lang w:val="es-EC"/>
        </w:rPr>
        <w:t>of</w:t>
      </w:r>
      <w:proofErr w:type="spellEnd"/>
      <w:r>
        <w:rPr>
          <w:rFonts w:cs="Times New Roman"/>
          <w:i/>
          <w:iCs/>
          <w:szCs w:val="24"/>
          <w:lang w:val="es-EC"/>
        </w:rPr>
        <w:t xml:space="preserve"> </w:t>
      </w:r>
      <w:proofErr w:type="spellStart"/>
      <w:r>
        <w:rPr>
          <w:rFonts w:cs="Times New Roman"/>
          <w:i/>
          <w:iCs/>
          <w:szCs w:val="24"/>
          <w:lang w:val="es-EC"/>
        </w:rPr>
        <w:t>Educational</w:t>
      </w:r>
      <w:proofErr w:type="spellEnd"/>
      <w:r>
        <w:rPr>
          <w:rFonts w:cs="Times New Roman"/>
          <w:i/>
          <w:iCs/>
          <w:szCs w:val="24"/>
          <w:lang w:val="es-EC"/>
        </w:rPr>
        <w:t xml:space="preserve"> </w:t>
      </w:r>
      <w:proofErr w:type="spellStart"/>
      <w:r>
        <w:rPr>
          <w:rFonts w:cs="Times New Roman"/>
          <w:i/>
          <w:iCs/>
          <w:szCs w:val="24"/>
          <w:lang w:val="es-EC"/>
        </w:rPr>
        <w:t>Research</w:t>
      </w:r>
      <w:proofErr w:type="spellEnd"/>
      <w:r>
        <w:rPr>
          <w:rFonts w:cs="Times New Roman"/>
          <w:i/>
          <w:iCs/>
          <w:szCs w:val="24"/>
          <w:lang w:val="es-EC"/>
        </w:rPr>
        <w:t>, 23</w:t>
      </w:r>
      <w:r>
        <w:rPr>
          <w:rFonts w:cs="Times New Roman"/>
          <w:szCs w:val="24"/>
          <w:lang w:val="es-EC"/>
        </w:rPr>
        <w:t>(4), 102–118.</w:t>
      </w:r>
    </w:p>
    <w:p w14:paraId="76349A84" w14:textId="77777777" w:rsidR="00C15B6B" w:rsidRDefault="00000000">
      <w:pPr>
        <w:ind w:left="720" w:hanging="720"/>
        <w:jc w:val="both"/>
        <w:rPr>
          <w:rFonts w:cs="Times New Roman"/>
          <w:szCs w:val="24"/>
        </w:rPr>
      </w:pPr>
      <w:r>
        <w:rPr>
          <w:rFonts w:cs="Times New Roman"/>
          <w:szCs w:val="24"/>
          <w:lang w:val="es-EC"/>
        </w:rPr>
        <w:t xml:space="preserve">Ministerio de Educación del Ecuador. (2021). </w:t>
      </w:r>
      <w:r>
        <w:rPr>
          <w:rFonts w:cs="Times New Roman"/>
          <w:i/>
          <w:iCs/>
          <w:szCs w:val="24"/>
          <w:lang w:val="es-EC"/>
        </w:rPr>
        <w:t>Estadísticas educativas institucionales</w:t>
      </w:r>
      <w:r>
        <w:rPr>
          <w:rFonts w:cs="Times New Roman"/>
          <w:szCs w:val="24"/>
          <w:lang w:val="es-EC"/>
        </w:rPr>
        <w:t xml:space="preserve">. </w:t>
      </w:r>
      <w:hyperlink r:id="rId21" w:history="1">
        <w:r>
          <w:rPr>
            <w:rStyle w:val="Hipervnculo"/>
            <w:rFonts w:cs="Times New Roman"/>
            <w:szCs w:val="24"/>
          </w:rPr>
          <w:t>https://educacion.gob.ec</w:t>
        </w:r>
      </w:hyperlink>
    </w:p>
    <w:p w14:paraId="5B18ADDE" w14:textId="77777777" w:rsidR="00C15B6B" w:rsidRDefault="00000000">
      <w:pPr>
        <w:ind w:left="720" w:hanging="720"/>
        <w:jc w:val="both"/>
        <w:rPr>
          <w:rFonts w:cs="Times New Roman"/>
          <w:szCs w:val="24"/>
        </w:rPr>
      </w:pPr>
      <w:r>
        <w:rPr>
          <w:rFonts w:cs="Times New Roman"/>
          <w:szCs w:val="24"/>
        </w:rPr>
        <w:t xml:space="preserve">Moyer, P. S., Bolyard, J. J., &amp; </w:t>
      </w:r>
      <w:proofErr w:type="spellStart"/>
      <w:r>
        <w:rPr>
          <w:rFonts w:cs="Times New Roman"/>
          <w:szCs w:val="24"/>
        </w:rPr>
        <w:t>Spikell</w:t>
      </w:r>
      <w:proofErr w:type="spellEnd"/>
      <w:r>
        <w:rPr>
          <w:rFonts w:cs="Times New Roman"/>
          <w:szCs w:val="24"/>
        </w:rPr>
        <w:t xml:space="preserve">, M. A. (2002). What are virtual manipulatives? </w:t>
      </w:r>
      <w:r>
        <w:rPr>
          <w:rFonts w:cs="Times New Roman"/>
          <w:i/>
          <w:iCs/>
          <w:szCs w:val="24"/>
        </w:rPr>
        <w:t>Teaching Children Mathematics, 8</w:t>
      </w:r>
      <w:r>
        <w:rPr>
          <w:rFonts w:cs="Times New Roman"/>
          <w:szCs w:val="24"/>
        </w:rPr>
        <w:t>(6), 372–377.</w:t>
      </w:r>
    </w:p>
    <w:p w14:paraId="5CD2F77C" w14:textId="77777777" w:rsidR="00C15B6B" w:rsidRDefault="00000000">
      <w:pPr>
        <w:ind w:left="720" w:hanging="720"/>
        <w:jc w:val="both"/>
        <w:rPr>
          <w:rFonts w:cs="Times New Roman"/>
          <w:szCs w:val="24"/>
        </w:rPr>
      </w:pPr>
      <w:r>
        <w:rPr>
          <w:rFonts w:cs="Times New Roman"/>
          <w:szCs w:val="24"/>
        </w:rPr>
        <w:t xml:space="preserve">NCTM (National Council of Teachers of Mathematics). (2000). </w:t>
      </w:r>
      <w:r>
        <w:rPr>
          <w:rFonts w:cs="Times New Roman"/>
          <w:i/>
          <w:iCs/>
          <w:szCs w:val="24"/>
        </w:rPr>
        <w:t>Principles and standards for school mathematics</w:t>
      </w:r>
      <w:r>
        <w:rPr>
          <w:rFonts w:cs="Times New Roman"/>
          <w:szCs w:val="24"/>
        </w:rPr>
        <w:t>. Author.</w:t>
      </w:r>
    </w:p>
    <w:p w14:paraId="246D4816" w14:textId="77777777" w:rsidR="00C15B6B" w:rsidRDefault="00000000">
      <w:pPr>
        <w:ind w:left="720" w:hanging="720"/>
        <w:jc w:val="both"/>
        <w:rPr>
          <w:rFonts w:cs="Times New Roman"/>
          <w:szCs w:val="24"/>
        </w:rPr>
      </w:pPr>
      <w:r>
        <w:rPr>
          <w:rFonts w:cs="Times New Roman"/>
          <w:szCs w:val="24"/>
        </w:rPr>
        <w:t xml:space="preserve">Piaget, J. (1972). </w:t>
      </w:r>
      <w:r>
        <w:rPr>
          <w:rFonts w:cs="Times New Roman"/>
          <w:i/>
          <w:iCs/>
          <w:szCs w:val="24"/>
        </w:rPr>
        <w:t>The psychology of the child</w:t>
      </w:r>
      <w:r>
        <w:rPr>
          <w:rFonts w:cs="Times New Roman"/>
          <w:szCs w:val="24"/>
        </w:rPr>
        <w:t>. Basic Books.</w:t>
      </w:r>
    </w:p>
    <w:p w14:paraId="0F732706" w14:textId="77777777" w:rsidR="00C15B6B" w:rsidRDefault="00000000">
      <w:pPr>
        <w:ind w:left="720" w:hanging="720"/>
        <w:jc w:val="both"/>
        <w:rPr>
          <w:rFonts w:cs="Times New Roman"/>
          <w:szCs w:val="24"/>
        </w:rPr>
      </w:pPr>
      <w:r>
        <w:rPr>
          <w:rFonts w:cs="Times New Roman"/>
          <w:szCs w:val="24"/>
        </w:rPr>
        <w:t xml:space="preserve">Polya, G. (1957). </w:t>
      </w:r>
      <w:r>
        <w:rPr>
          <w:rFonts w:cs="Times New Roman"/>
          <w:i/>
          <w:iCs/>
          <w:szCs w:val="24"/>
        </w:rPr>
        <w:t>How to solve it: A new aspect of mathematical method</w:t>
      </w:r>
      <w:r>
        <w:rPr>
          <w:rFonts w:cs="Times New Roman"/>
          <w:szCs w:val="24"/>
        </w:rPr>
        <w:t xml:space="preserve"> (2nd ed.). Princeton University Press.</w:t>
      </w:r>
    </w:p>
    <w:p w14:paraId="4FACB90A" w14:textId="77777777" w:rsidR="00C15B6B" w:rsidRDefault="00000000">
      <w:pPr>
        <w:ind w:left="720" w:hanging="720"/>
        <w:jc w:val="both"/>
        <w:rPr>
          <w:rFonts w:cs="Times New Roman"/>
          <w:szCs w:val="24"/>
        </w:rPr>
      </w:pPr>
      <w:r>
        <w:rPr>
          <w:rFonts w:cs="Times New Roman"/>
          <w:szCs w:val="24"/>
        </w:rPr>
        <w:lastRenderedPageBreak/>
        <w:t xml:space="preserve">Roschelle, J., Kaput, J. J., &amp; Stroup, W. (2000). </w:t>
      </w:r>
      <w:proofErr w:type="spellStart"/>
      <w:r>
        <w:rPr>
          <w:rFonts w:cs="Times New Roman"/>
          <w:szCs w:val="24"/>
        </w:rPr>
        <w:t>SimCalc</w:t>
      </w:r>
      <w:proofErr w:type="spellEnd"/>
      <w:r>
        <w:rPr>
          <w:rFonts w:cs="Times New Roman"/>
          <w:szCs w:val="24"/>
        </w:rPr>
        <w:t xml:space="preserve">: Accelerating students’ engagement with the mathematics of change. In M. J. Jacobson &amp; R. B. Kozma (Eds.), </w:t>
      </w:r>
      <w:r>
        <w:rPr>
          <w:rFonts w:cs="Times New Roman"/>
          <w:i/>
          <w:iCs/>
          <w:szCs w:val="24"/>
        </w:rPr>
        <w:t>Innovations in science and mathematics education</w:t>
      </w:r>
      <w:r>
        <w:rPr>
          <w:rFonts w:cs="Times New Roman"/>
          <w:szCs w:val="24"/>
        </w:rPr>
        <w:t xml:space="preserve"> (pp. 47–75). Lawrence Erlbaum Associates.</w:t>
      </w:r>
    </w:p>
    <w:p w14:paraId="3043A6C0" w14:textId="77777777" w:rsidR="00C15B6B" w:rsidRDefault="00000000">
      <w:pPr>
        <w:ind w:left="720" w:hanging="720"/>
        <w:jc w:val="both"/>
        <w:rPr>
          <w:rFonts w:cs="Times New Roman"/>
          <w:szCs w:val="24"/>
          <w:lang w:val="es-EC"/>
        </w:rPr>
      </w:pPr>
      <w:proofErr w:type="spellStart"/>
      <w:r>
        <w:rPr>
          <w:rFonts w:cs="Times New Roman"/>
          <w:szCs w:val="24"/>
        </w:rPr>
        <w:t>Rosenshine</w:t>
      </w:r>
      <w:proofErr w:type="spellEnd"/>
      <w:r>
        <w:rPr>
          <w:rFonts w:cs="Times New Roman"/>
          <w:szCs w:val="24"/>
        </w:rPr>
        <w:t xml:space="preserve">, B. (2012). Principles of instruction: Research-based strategies that all teachers should know. </w:t>
      </w:r>
      <w:r>
        <w:rPr>
          <w:rFonts w:cs="Times New Roman"/>
          <w:i/>
          <w:iCs/>
          <w:szCs w:val="24"/>
          <w:lang w:val="es-EC"/>
        </w:rPr>
        <w:t xml:space="preserve">American </w:t>
      </w:r>
      <w:proofErr w:type="spellStart"/>
      <w:r>
        <w:rPr>
          <w:rFonts w:cs="Times New Roman"/>
          <w:i/>
          <w:iCs/>
          <w:szCs w:val="24"/>
          <w:lang w:val="es-EC"/>
        </w:rPr>
        <w:t>Educator</w:t>
      </w:r>
      <w:proofErr w:type="spellEnd"/>
      <w:r>
        <w:rPr>
          <w:rFonts w:cs="Times New Roman"/>
          <w:i/>
          <w:iCs/>
          <w:szCs w:val="24"/>
          <w:lang w:val="es-EC"/>
        </w:rPr>
        <w:t>, 36</w:t>
      </w:r>
      <w:r>
        <w:rPr>
          <w:rFonts w:cs="Times New Roman"/>
          <w:szCs w:val="24"/>
          <w:lang w:val="es-EC"/>
        </w:rPr>
        <w:t>(1), 12–19.</w:t>
      </w:r>
    </w:p>
    <w:p w14:paraId="2E60DFBB" w14:textId="77777777" w:rsidR="00C15B6B" w:rsidRDefault="00000000">
      <w:pPr>
        <w:ind w:left="720" w:hanging="720"/>
        <w:jc w:val="both"/>
        <w:rPr>
          <w:rFonts w:cs="Times New Roman"/>
          <w:szCs w:val="24"/>
          <w:lang w:val="es-EC"/>
        </w:rPr>
      </w:pPr>
      <w:r>
        <w:rPr>
          <w:rFonts w:cs="Times New Roman"/>
          <w:szCs w:val="24"/>
          <w:lang w:val="es-EC"/>
        </w:rPr>
        <w:t xml:space="preserve">Santos Fernández, R. (2024). Innovación tecnológica en la enseñanza de las matemáticas: Inteligencia artificial y realidad aumentada. </w:t>
      </w:r>
      <w:r>
        <w:rPr>
          <w:rFonts w:cs="Times New Roman"/>
          <w:i/>
          <w:iCs/>
          <w:szCs w:val="24"/>
          <w:lang w:val="es-EC"/>
        </w:rPr>
        <w:t>Revista Iberoamericana de Educación, 92</w:t>
      </w:r>
      <w:r>
        <w:rPr>
          <w:rFonts w:cs="Times New Roman"/>
          <w:szCs w:val="24"/>
          <w:lang w:val="es-EC"/>
        </w:rPr>
        <w:t>(1), 123–140.</w:t>
      </w:r>
    </w:p>
    <w:p w14:paraId="5573C374" w14:textId="77777777" w:rsidR="00C15B6B" w:rsidRDefault="00000000">
      <w:pPr>
        <w:ind w:left="720" w:hanging="720"/>
        <w:jc w:val="both"/>
        <w:rPr>
          <w:rFonts w:cs="Times New Roman"/>
          <w:szCs w:val="24"/>
          <w:lang w:val="es-EC"/>
        </w:rPr>
      </w:pPr>
      <w:r>
        <w:rPr>
          <w:rFonts w:cs="Times New Roman"/>
          <w:szCs w:val="24"/>
          <w:lang w:val="es-EC"/>
        </w:rPr>
        <w:t xml:space="preserve">Sarmiento-Rojas, J., Rojas-Ospina, M., Morales-Carrillo, A., &amp; Garcés-Gómez, Y. (2023). Desarrollo del pensamiento matemático en la educación básica: Una revisión sistemática. </w:t>
      </w:r>
      <w:r>
        <w:rPr>
          <w:rFonts w:cs="Times New Roman"/>
          <w:i/>
          <w:iCs/>
          <w:szCs w:val="24"/>
          <w:lang w:val="es-EC"/>
        </w:rPr>
        <w:t>Revista de Educación Matemática, 38</w:t>
      </w:r>
      <w:r>
        <w:rPr>
          <w:rFonts w:cs="Times New Roman"/>
          <w:szCs w:val="24"/>
          <w:lang w:val="es-EC"/>
        </w:rPr>
        <w:t>(2), 45–67.</w:t>
      </w:r>
    </w:p>
    <w:p w14:paraId="551E0DA9" w14:textId="77777777" w:rsidR="00C15B6B" w:rsidRDefault="00000000">
      <w:pPr>
        <w:ind w:left="720" w:hanging="720"/>
        <w:jc w:val="both"/>
        <w:rPr>
          <w:rFonts w:cs="Times New Roman"/>
          <w:szCs w:val="24"/>
        </w:rPr>
      </w:pPr>
      <w:r>
        <w:rPr>
          <w:rFonts w:cs="Times New Roman"/>
          <w:szCs w:val="24"/>
          <w:lang w:val="es-EC"/>
        </w:rPr>
        <w:t xml:space="preserve">Schoenfeld, A. H. (1985). </w:t>
      </w:r>
      <w:proofErr w:type="spellStart"/>
      <w:r>
        <w:rPr>
          <w:rFonts w:cs="Times New Roman"/>
          <w:i/>
          <w:iCs/>
          <w:szCs w:val="24"/>
          <w:lang w:val="es-EC"/>
        </w:rPr>
        <w:t>Mathematical</w:t>
      </w:r>
      <w:proofErr w:type="spellEnd"/>
      <w:r>
        <w:rPr>
          <w:rFonts w:cs="Times New Roman"/>
          <w:i/>
          <w:iCs/>
          <w:szCs w:val="24"/>
          <w:lang w:val="es-EC"/>
        </w:rPr>
        <w:t xml:space="preserve"> </w:t>
      </w:r>
      <w:proofErr w:type="spellStart"/>
      <w:r>
        <w:rPr>
          <w:rFonts w:cs="Times New Roman"/>
          <w:i/>
          <w:iCs/>
          <w:szCs w:val="24"/>
          <w:lang w:val="es-EC"/>
        </w:rPr>
        <w:t>problem</w:t>
      </w:r>
      <w:proofErr w:type="spellEnd"/>
      <w:r>
        <w:rPr>
          <w:rFonts w:cs="Times New Roman"/>
          <w:i/>
          <w:iCs/>
          <w:szCs w:val="24"/>
          <w:lang w:val="es-EC"/>
        </w:rPr>
        <w:t xml:space="preserve"> </w:t>
      </w:r>
      <w:proofErr w:type="spellStart"/>
      <w:r>
        <w:rPr>
          <w:rFonts w:cs="Times New Roman"/>
          <w:i/>
          <w:iCs/>
          <w:szCs w:val="24"/>
          <w:lang w:val="es-EC"/>
        </w:rPr>
        <w:t>solving</w:t>
      </w:r>
      <w:proofErr w:type="spellEnd"/>
      <w:r>
        <w:rPr>
          <w:rFonts w:cs="Times New Roman"/>
          <w:szCs w:val="24"/>
          <w:lang w:val="es-EC"/>
        </w:rPr>
        <w:t xml:space="preserve">. </w:t>
      </w:r>
      <w:r>
        <w:rPr>
          <w:rFonts w:cs="Times New Roman"/>
          <w:szCs w:val="24"/>
        </w:rPr>
        <w:t>Academic Press.</w:t>
      </w:r>
    </w:p>
    <w:p w14:paraId="7CFEE209" w14:textId="77777777" w:rsidR="00C15B6B" w:rsidRDefault="00000000">
      <w:pPr>
        <w:ind w:left="720" w:hanging="720"/>
        <w:jc w:val="both"/>
        <w:rPr>
          <w:rFonts w:cs="Times New Roman"/>
          <w:szCs w:val="24"/>
        </w:rPr>
      </w:pPr>
      <w:r>
        <w:rPr>
          <w:rFonts w:cs="Times New Roman"/>
          <w:szCs w:val="24"/>
        </w:rPr>
        <w:t xml:space="preserve">Sternberg, R. J., &amp; Williams, W. M. (1996). </w:t>
      </w:r>
      <w:r>
        <w:rPr>
          <w:rFonts w:cs="Times New Roman"/>
          <w:i/>
          <w:iCs/>
          <w:szCs w:val="24"/>
        </w:rPr>
        <w:t>How to develop student creativity</w:t>
      </w:r>
      <w:r>
        <w:rPr>
          <w:rFonts w:cs="Times New Roman"/>
          <w:szCs w:val="24"/>
        </w:rPr>
        <w:t>. Association for Supervision and Curriculum Development.</w:t>
      </w:r>
    </w:p>
    <w:p w14:paraId="593264B6" w14:textId="77777777" w:rsidR="00C15B6B" w:rsidRDefault="00000000">
      <w:pPr>
        <w:ind w:left="720" w:hanging="720"/>
        <w:jc w:val="both"/>
        <w:rPr>
          <w:rFonts w:cs="Times New Roman"/>
          <w:szCs w:val="24"/>
        </w:rPr>
      </w:pPr>
      <w:r>
        <w:rPr>
          <w:rFonts w:cs="Times New Roman"/>
          <w:szCs w:val="24"/>
        </w:rPr>
        <w:t xml:space="preserve">Silver, E. A. (1997). Fostering creativity through instruction rich in mathematical problem solving and problem posing. </w:t>
      </w:r>
      <w:r>
        <w:rPr>
          <w:rFonts w:cs="Times New Roman"/>
          <w:i/>
          <w:iCs/>
          <w:szCs w:val="24"/>
        </w:rPr>
        <w:t>ZDM Mathematics Education, 29</w:t>
      </w:r>
      <w:r>
        <w:rPr>
          <w:rFonts w:cs="Times New Roman"/>
          <w:szCs w:val="24"/>
        </w:rPr>
        <w:t xml:space="preserve">(3), 75–80. </w:t>
      </w:r>
      <w:hyperlink r:id="rId22" w:history="1">
        <w:r>
          <w:rPr>
            <w:rStyle w:val="Hipervnculo"/>
            <w:rFonts w:cs="Times New Roman"/>
            <w:szCs w:val="24"/>
          </w:rPr>
          <w:t>https://doi.org/10.1007/s11858-997-0003-x</w:t>
        </w:r>
      </w:hyperlink>
    </w:p>
    <w:p w14:paraId="7D4E7441" w14:textId="77777777" w:rsidR="00C15B6B" w:rsidRDefault="00000000">
      <w:pPr>
        <w:ind w:left="720" w:hanging="720"/>
        <w:jc w:val="both"/>
        <w:rPr>
          <w:rFonts w:cs="Times New Roman"/>
          <w:szCs w:val="24"/>
        </w:rPr>
      </w:pPr>
      <w:r>
        <w:rPr>
          <w:rFonts w:cs="Times New Roman"/>
          <w:szCs w:val="24"/>
        </w:rPr>
        <w:t xml:space="preserve">Sternberg, R. J., &amp; Grigorenko, E. L. (2000). </w:t>
      </w:r>
      <w:r>
        <w:rPr>
          <w:rFonts w:cs="Times New Roman"/>
          <w:i/>
          <w:iCs/>
          <w:szCs w:val="24"/>
        </w:rPr>
        <w:t>Teaching for successful intelligence: To increase student learning and achievement</w:t>
      </w:r>
      <w:r>
        <w:rPr>
          <w:rFonts w:cs="Times New Roman"/>
          <w:szCs w:val="24"/>
        </w:rPr>
        <w:t>. Skylight Professional Development.</w:t>
      </w:r>
    </w:p>
    <w:p w14:paraId="45CECF29" w14:textId="77777777" w:rsidR="00C15B6B" w:rsidRDefault="00000000">
      <w:pPr>
        <w:ind w:left="720" w:hanging="720"/>
        <w:jc w:val="both"/>
        <w:rPr>
          <w:rFonts w:cs="Times New Roman"/>
          <w:szCs w:val="24"/>
          <w:lang w:val="es-EC"/>
        </w:rPr>
      </w:pPr>
      <w:r>
        <w:rPr>
          <w:rFonts w:cs="Times New Roman"/>
          <w:szCs w:val="24"/>
        </w:rPr>
        <w:lastRenderedPageBreak/>
        <w:t xml:space="preserve">Sternberg, R. J., &amp; Williams, W. M. (1996). </w:t>
      </w:r>
      <w:r>
        <w:rPr>
          <w:rFonts w:cs="Times New Roman"/>
          <w:i/>
          <w:iCs/>
          <w:szCs w:val="24"/>
        </w:rPr>
        <w:t>How to develop student creativity</w:t>
      </w:r>
      <w:r>
        <w:rPr>
          <w:rFonts w:cs="Times New Roman"/>
          <w:szCs w:val="24"/>
        </w:rPr>
        <w:t xml:space="preserve">. </w:t>
      </w:r>
      <w:proofErr w:type="spellStart"/>
      <w:r>
        <w:rPr>
          <w:rFonts w:cs="Times New Roman"/>
          <w:szCs w:val="24"/>
          <w:lang w:val="es-EC"/>
        </w:rPr>
        <w:t>Association</w:t>
      </w:r>
      <w:proofErr w:type="spellEnd"/>
      <w:r>
        <w:rPr>
          <w:rFonts w:cs="Times New Roman"/>
          <w:szCs w:val="24"/>
          <w:lang w:val="es-EC"/>
        </w:rPr>
        <w:t xml:space="preserve"> </w:t>
      </w:r>
      <w:proofErr w:type="spellStart"/>
      <w:r>
        <w:rPr>
          <w:rFonts w:cs="Times New Roman"/>
          <w:szCs w:val="24"/>
          <w:lang w:val="es-EC"/>
        </w:rPr>
        <w:t>for</w:t>
      </w:r>
      <w:proofErr w:type="spellEnd"/>
      <w:r>
        <w:rPr>
          <w:rFonts w:cs="Times New Roman"/>
          <w:szCs w:val="24"/>
          <w:lang w:val="es-EC"/>
        </w:rPr>
        <w:t xml:space="preserve"> </w:t>
      </w:r>
      <w:proofErr w:type="spellStart"/>
      <w:r>
        <w:rPr>
          <w:rFonts w:cs="Times New Roman"/>
          <w:szCs w:val="24"/>
          <w:lang w:val="es-EC"/>
        </w:rPr>
        <w:t>Supervision</w:t>
      </w:r>
      <w:proofErr w:type="spellEnd"/>
      <w:r>
        <w:rPr>
          <w:rFonts w:cs="Times New Roman"/>
          <w:szCs w:val="24"/>
          <w:lang w:val="es-EC"/>
        </w:rPr>
        <w:t xml:space="preserve"> and </w:t>
      </w:r>
      <w:proofErr w:type="spellStart"/>
      <w:r>
        <w:rPr>
          <w:rFonts w:cs="Times New Roman"/>
          <w:szCs w:val="24"/>
          <w:lang w:val="es-EC"/>
        </w:rPr>
        <w:t>Curriculum</w:t>
      </w:r>
      <w:proofErr w:type="spellEnd"/>
      <w:r>
        <w:rPr>
          <w:rFonts w:cs="Times New Roman"/>
          <w:szCs w:val="24"/>
          <w:lang w:val="es-EC"/>
        </w:rPr>
        <w:t xml:space="preserve"> </w:t>
      </w:r>
      <w:proofErr w:type="spellStart"/>
      <w:r>
        <w:rPr>
          <w:rFonts w:cs="Times New Roman"/>
          <w:szCs w:val="24"/>
          <w:lang w:val="es-EC"/>
        </w:rPr>
        <w:t>Development</w:t>
      </w:r>
      <w:proofErr w:type="spellEnd"/>
      <w:r>
        <w:rPr>
          <w:rFonts w:cs="Times New Roman"/>
          <w:szCs w:val="24"/>
          <w:lang w:val="es-EC"/>
        </w:rPr>
        <w:t>.</w:t>
      </w:r>
    </w:p>
    <w:p w14:paraId="29EE20F4" w14:textId="77777777" w:rsidR="00C15B6B" w:rsidRDefault="00000000">
      <w:pPr>
        <w:ind w:left="720" w:hanging="720"/>
        <w:jc w:val="both"/>
        <w:rPr>
          <w:rFonts w:cs="Times New Roman"/>
          <w:szCs w:val="24"/>
        </w:rPr>
      </w:pPr>
      <w:r>
        <w:rPr>
          <w:rFonts w:cs="Times New Roman"/>
          <w:szCs w:val="24"/>
          <w:lang w:val="es-EC"/>
        </w:rPr>
        <w:t xml:space="preserve">UNESCO. (2019). </w:t>
      </w:r>
      <w:r>
        <w:rPr>
          <w:rFonts w:cs="Times New Roman"/>
          <w:i/>
          <w:iCs/>
          <w:szCs w:val="24"/>
          <w:lang w:val="es-EC"/>
        </w:rPr>
        <w:t>Informe de seguimiento de la educación en el mundo: América Latina y el Caribe</w:t>
      </w:r>
      <w:r>
        <w:rPr>
          <w:rFonts w:cs="Times New Roman"/>
          <w:szCs w:val="24"/>
          <w:lang w:val="es-EC"/>
        </w:rPr>
        <w:t xml:space="preserve">. </w:t>
      </w:r>
      <w:hyperlink r:id="rId23" w:tgtFrame="_new" w:history="1">
        <w:r>
          <w:rPr>
            <w:rStyle w:val="Hipervnculo"/>
            <w:rFonts w:cs="Times New Roman"/>
            <w:szCs w:val="24"/>
          </w:rPr>
          <w:t>https://unesdoc.unesco.org</w:t>
        </w:r>
      </w:hyperlink>
    </w:p>
    <w:p w14:paraId="2F72E7F0" w14:textId="77777777" w:rsidR="00C15B6B" w:rsidRDefault="00000000">
      <w:pPr>
        <w:ind w:left="720" w:hanging="720"/>
        <w:jc w:val="both"/>
        <w:rPr>
          <w:rFonts w:cs="Times New Roman"/>
          <w:szCs w:val="24"/>
        </w:rPr>
      </w:pPr>
      <w:r>
        <w:rPr>
          <w:rFonts w:cs="Times New Roman"/>
          <w:szCs w:val="24"/>
        </w:rPr>
        <w:t xml:space="preserve">Wiggins, G., &amp; McTighe, J. (2005). </w:t>
      </w:r>
      <w:r>
        <w:rPr>
          <w:rFonts w:cs="Times New Roman"/>
          <w:i/>
          <w:iCs/>
          <w:szCs w:val="24"/>
        </w:rPr>
        <w:t>Understanding by design</w:t>
      </w:r>
      <w:r>
        <w:rPr>
          <w:rFonts w:cs="Times New Roman"/>
          <w:szCs w:val="24"/>
        </w:rPr>
        <w:t xml:space="preserve"> (2nd ed.). Association for Supervision and Curriculum Development.</w:t>
      </w:r>
    </w:p>
    <w:p w14:paraId="6638BDF9" w14:textId="77777777" w:rsidR="00C15B6B" w:rsidRDefault="00000000">
      <w:pPr>
        <w:ind w:left="720" w:hanging="720"/>
        <w:jc w:val="both"/>
        <w:rPr>
          <w:rFonts w:cs="Times New Roman"/>
          <w:b/>
          <w:bCs/>
          <w:i/>
          <w:iCs/>
          <w:szCs w:val="24"/>
          <w:lang w:val="es-EC"/>
        </w:rPr>
      </w:pPr>
      <w:proofErr w:type="spellStart"/>
      <w:r>
        <w:rPr>
          <w:rFonts w:cs="Times New Roman"/>
          <w:szCs w:val="24"/>
        </w:rPr>
        <w:t>Zuse</w:t>
      </w:r>
      <w:proofErr w:type="spellEnd"/>
      <w:r>
        <w:rPr>
          <w:rFonts w:cs="Times New Roman"/>
          <w:szCs w:val="24"/>
        </w:rPr>
        <w:t xml:space="preserve"> Institute Berlin &amp; </w:t>
      </w:r>
      <w:proofErr w:type="spellStart"/>
      <w:r>
        <w:rPr>
          <w:rFonts w:cs="Times New Roman"/>
          <w:szCs w:val="24"/>
        </w:rPr>
        <w:t>Technische</w:t>
      </w:r>
      <w:proofErr w:type="spellEnd"/>
      <w:r>
        <w:rPr>
          <w:rFonts w:cs="Times New Roman"/>
          <w:szCs w:val="24"/>
        </w:rPr>
        <w:t xml:space="preserve"> Universität Berlin. </w:t>
      </w:r>
      <w:r>
        <w:rPr>
          <w:rFonts w:cs="Times New Roman"/>
          <w:szCs w:val="24"/>
          <w:lang w:val="es-EC"/>
        </w:rPr>
        <w:t xml:space="preserve">(2024). </w:t>
      </w:r>
      <w:r>
        <w:rPr>
          <w:rFonts w:cs="Times New Roman"/>
          <w:i/>
          <w:iCs/>
          <w:szCs w:val="24"/>
          <w:lang w:val="es-EC"/>
        </w:rPr>
        <w:t>Aprendizaje Automático en la resolución de Problemas Matemáticos</w:t>
      </w:r>
    </w:p>
    <w:p w14:paraId="29DCE6DB" w14:textId="77777777" w:rsidR="00C15B6B" w:rsidRDefault="00000000">
      <w:pPr>
        <w:spacing w:before="100" w:beforeAutospacing="1" w:after="120"/>
        <w:jc w:val="center"/>
        <w:rPr>
          <w:rFonts w:eastAsia="Times New Roman" w:cs="Times New Roman"/>
          <w:b/>
          <w:kern w:val="0"/>
          <w:szCs w:val="24"/>
          <w:lang w:val="es-ES"/>
          <w14:ligatures w14:val="none"/>
        </w:rPr>
      </w:pPr>
      <w:r>
        <w:rPr>
          <w:rFonts w:eastAsia="Times New Roman" w:cs="Times New Roman"/>
          <w:b/>
          <w:kern w:val="0"/>
          <w:szCs w:val="24"/>
          <w:lang w:val="es-ES"/>
          <w14:ligatures w14:val="none"/>
        </w:rPr>
        <w:t>DECLARACIÓN DE CONFLICTO Y CONTRIBUCIÓN DE LOS AUTORES</w:t>
      </w:r>
    </w:p>
    <w:p w14:paraId="1A911A88" w14:textId="77777777" w:rsidR="00C15B6B" w:rsidRDefault="00000000">
      <w:pPr>
        <w:spacing w:before="100" w:beforeAutospacing="1" w:after="100" w:afterAutospacing="1"/>
        <w:jc w:val="both"/>
        <w:rPr>
          <w:rFonts w:eastAsia="Times New Roman" w:cs="Times New Roman"/>
          <w:kern w:val="0"/>
          <w:szCs w:val="24"/>
          <w:lang w:val="es-EC" w:eastAsia="es-EC"/>
          <w14:ligatures w14:val="none"/>
        </w:rPr>
      </w:pPr>
      <w:r>
        <w:rPr>
          <w:rFonts w:eastAsia="Times New Roman" w:cs="Times New Roman"/>
          <w:kern w:val="0"/>
          <w:szCs w:val="24"/>
          <w:lang w:val="es-EC" w:eastAsia="es-EC"/>
          <w14:ligatures w14:val="none"/>
        </w:rPr>
        <w:t>El autor declara que este manuscrito es original y no ha sido enviado a ninguna otra revista. No existen conflictos de interés ni éticos relacionados con el contenido presentado.</w:t>
      </w:r>
    </w:p>
    <w:p w14:paraId="4BB38502" w14:textId="77777777" w:rsidR="00C15B6B" w:rsidRDefault="00000000">
      <w:pPr>
        <w:spacing w:before="100" w:beforeAutospacing="1" w:after="100" w:afterAutospacing="1"/>
        <w:jc w:val="both"/>
        <w:rPr>
          <w:rFonts w:eastAsia="Times New Roman" w:cs="Times New Roman"/>
          <w:kern w:val="0"/>
          <w:szCs w:val="24"/>
          <w:lang w:val="es-EC" w:eastAsia="es-EC"/>
          <w14:ligatures w14:val="none"/>
        </w:rPr>
      </w:pPr>
      <w:r>
        <w:rPr>
          <w:rFonts w:cs="Times New Roman"/>
          <w:szCs w:val="24"/>
          <w:lang w:val="es-EC"/>
        </w:rPr>
        <w:t>Luisa Geovanna Ramírez Hidalgo</w:t>
      </w:r>
      <w:r>
        <w:rPr>
          <w:rFonts w:eastAsia="Times New Roman" w:cs="Times New Roman"/>
          <w:kern w:val="0"/>
          <w:szCs w:val="24"/>
          <w:lang w:val="es-ES" w:eastAsia="es-EC"/>
          <w14:ligatures w14:val="none"/>
        </w:rPr>
        <w:t xml:space="preserve">: Conceptualización, investigación, metodología, redacción, revisión y edición. </w:t>
      </w:r>
    </w:p>
    <w:p w14:paraId="41028102" w14:textId="77777777" w:rsidR="00C15B6B" w:rsidRDefault="00000000">
      <w:pPr>
        <w:rPr>
          <w:rFonts w:cs="Times New Roman"/>
          <w:szCs w:val="24"/>
          <w:lang w:val="es-EC"/>
        </w:rPr>
      </w:pPr>
      <w:r>
        <w:rPr>
          <w:rFonts w:cs="Times New Roman"/>
          <w:szCs w:val="24"/>
          <w:lang w:val="es-EC"/>
        </w:rPr>
        <w:t xml:space="preserve">Julio Felipe García Herrera: </w:t>
      </w:r>
      <w:r>
        <w:rPr>
          <w:rFonts w:eastAsia="Times New Roman" w:cs="Times New Roman"/>
          <w:kern w:val="0"/>
          <w:szCs w:val="24"/>
          <w:lang w:val="es-EC" w:eastAsia="es-EC"/>
          <w14:ligatures w14:val="none"/>
        </w:rPr>
        <w:t>Conceptualización, investigación, metodología, recolección y análisis de datos, redacción, revisión y edición del manuscrito.</w:t>
      </w:r>
    </w:p>
    <w:sectPr w:rsidR="00C15B6B" w:rsidSect="00174BA9">
      <w:headerReference w:type="default" r:id="rId24"/>
      <w:footerReference w:type="default" r:id="rId25"/>
      <w:pgSz w:w="12240" w:h="15840"/>
      <w:pgMar w:top="1134" w:right="1134" w:bottom="1134" w:left="1134" w:header="720" w:footer="964" w:gutter="0"/>
      <w:pgNumType w:start="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EAA" w14:textId="77777777" w:rsidR="000A079A" w:rsidRDefault="000A079A">
      <w:pPr>
        <w:spacing w:line="240" w:lineRule="auto"/>
      </w:pPr>
      <w:r>
        <w:separator/>
      </w:r>
    </w:p>
  </w:endnote>
  <w:endnote w:type="continuationSeparator" w:id="0">
    <w:p w14:paraId="743B39AF" w14:textId="77777777" w:rsidR="000A079A" w:rsidRDefault="000A0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SimSu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209968098" w:displacedByCustomXml="next"/>
  <w:sdt>
    <w:sdtPr>
      <w:id w:val="-555850420"/>
      <w:docPartObj>
        <w:docPartGallery w:val="Page Numbers (Bottom of Page)"/>
        <w:docPartUnique/>
      </w:docPartObj>
    </w:sdtPr>
    <w:sdtContent>
      <w:p w14:paraId="2ED8D102" w14:textId="77777777" w:rsidR="00174BA9" w:rsidRDefault="00174BA9">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174BA9" w:rsidRPr="00174BA9" w14:paraId="68C23738" w14:textId="77777777" w:rsidTr="00592F6E">
          <w:trPr>
            <w:trHeight w:val="310"/>
            <w:jc w:val="center"/>
          </w:trPr>
          <w:tc>
            <w:tcPr>
              <w:tcW w:w="1804" w:type="dxa"/>
              <w:shd w:val="clear" w:color="auto" w:fill="00B0F0"/>
              <w:tcMar>
                <w:top w:w="144" w:type="dxa"/>
                <w:left w:w="115" w:type="dxa"/>
                <w:bottom w:w="144" w:type="dxa"/>
                <w:right w:w="115" w:type="dxa"/>
              </w:tcMar>
              <w:vAlign w:val="center"/>
            </w:tcPr>
            <w:p w14:paraId="4ED70867" w14:textId="77777777" w:rsidR="00174BA9" w:rsidRPr="00174BA9" w:rsidRDefault="00174BA9" w:rsidP="00174BA9">
              <w:pPr>
                <w:spacing w:before="0" w:after="0" w:line="240" w:lineRule="auto"/>
                <w:rPr>
                  <w:rFonts w:ascii="Calibri" w:eastAsia="Calibri" w:hAnsi="Calibri" w:cs="Times New Roman"/>
                  <w:b/>
                  <w:color w:val="FFFFFF"/>
                  <w:kern w:val="0"/>
                  <w:sz w:val="22"/>
                  <w:lang w:val="es-ES"/>
                  <w14:ligatures w14:val="none"/>
                </w:rPr>
              </w:pPr>
              <w:r w:rsidRPr="00174BA9">
                <w:rPr>
                  <w:rFonts w:ascii="Calibri" w:eastAsia="Calibri" w:hAnsi="Calibri" w:cs="Times New Roman"/>
                  <w:noProof/>
                  <w:kern w:val="0"/>
                  <w:sz w:val="22"/>
                  <w:lang w:val="es-ES" w:eastAsia="es-ES"/>
                  <w14:ligatures w14:val="none"/>
                </w:rPr>
                <w:drawing>
                  <wp:inline distT="0" distB="0" distL="0" distR="0" wp14:anchorId="21EAD96E" wp14:editId="49A40363">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A6A269E" w14:textId="77777777" w:rsidR="00174BA9" w:rsidRPr="00174BA9" w:rsidRDefault="00174BA9" w:rsidP="00174BA9">
              <w:pPr>
                <w:spacing w:before="0" w:after="0" w:line="240" w:lineRule="auto"/>
                <w:rPr>
                  <w:rFonts w:ascii="Calibri" w:eastAsia="Calibri" w:hAnsi="Calibri" w:cs="Times New Roman"/>
                  <w:color w:val="FFFFFF"/>
                  <w:kern w:val="0"/>
                  <w:sz w:val="20"/>
                  <w:lang w:val="es-ES"/>
                  <w14:ligatures w14:val="none"/>
                </w:rPr>
              </w:pPr>
              <w:r w:rsidRPr="00174BA9">
                <w:rPr>
                  <w:rFonts w:ascii="Calibri" w:eastAsia="Calibri" w:hAnsi="Calibri" w:cs="Times New Roman"/>
                  <w:color w:val="FFFFFF"/>
                  <w:kern w:val="0"/>
                  <w:sz w:val="20"/>
                  <w:lang w:val="es-ES"/>
                  <w14:ligatures w14:val="none"/>
                </w:rPr>
                <w:t xml:space="preserve">Artículo de acceso abierto distribuido bajo los términos de la licencia Creative </w:t>
              </w:r>
              <w:proofErr w:type="spellStart"/>
              <w:r w:rsidRPr="00174BA9">
                <w:rPr>
                  <w:rFonts w:ascii="Calibri" w:eastAsia="Calibri" w:hAnsi="Calibri" w:cs="Times New Roman"/>
                  <w:color w:val="FFFFFF"/>
                  <w:kern w:val="0"/>
                  <w:sz w:val="20"/>
                  <w:lang w:val="es-ES"/>
                  <w14:ligatures w14:val="none"/>
                </w:rPr>
                <w:t>Commons</w:t>
              </w:r>
              <w:proofErr w:type="spellEnd"/>
              <w:r w:rsidRPr="00174BA9">
                <w:rPr>
                  <w:rFonts w:ascii="Calibri" w:eastAsia="Calibri" w:hAnsi="Calibri" w:cs="Times New Roman"/>
                  <w:color w:val="FFFFFF"/>
                  <w:kern w:val="0"/>
                  <w:sz w:val="20"/>
                  <w:lang w:val="es-ES"/>
                  <w14:ligatures w14:val="none"/>
                </w:rPr>
                <w:t xml:space="preserve">. </w:t>
              </w:r>
            </w:p>
            <w:p w14:paraId="45585503" w14:textId="77777777" w:rsidR="00174BA9" w:rsidRPr="00174BA9" w:rsidRDefault="00174BA9" w:rsidP="00174BA9">
              <w:pPr>
                <w:spacing w:before="0" w:after="0" w:line="240" w:lineRule="auto"/>
                <w:rPr>
                  <w:rFonts w:ascii="Calibri" w:eastAsia="Calibri" w:hAnsi="Calibri" w:cs="Times New Roman"/>
                  <w:b/>
                  <w:color w:val="FFFFFF"/>
                  <w:kern w:val="0"/>
                  <w:sz w:val="22"/>
                  <w:lang w:val="es-ES"/>
                  <w14:ligatures w14:val="none"/>
                </w:rPr>
              </w:pPr>
              <w:r w:rsidRPr="00174BA9">
                <w:rPr>
                  <w:rFonts w:ascii="Calibri" w:eastAsia="Calibri" w:hAnsi="Calibri" w:cs="Times New Roman"/>
                  <w:color w:val="FFFFFF"/>
                  <w:kern w:val="0"/>
                  <w:sz w:val="20"/>
                  <w:lang w:val="es-ES"/>
                  <w14:ligatures w14:val="none"/>
                </w:rPr>
                <w:t>Reconocimiento-</w:t>
              </w:r>
              <w:proofErr w:type="spellStart"/>
              <w:r w:rsidRPr="00174BA9">
                <w:rPr>
                  <w:rFonts w:ascii="Calibri" w:eastAsia="Calibri" w:hAnsi="Calibri" w:cs="Times New Roman"/>
                  <w:color w:val="FFFFFF"/>
                  <w:kern w:val="0"/>
                  <w:sz w:val="20"/>
                  <w:lang w:val="es-ES"/>
                  <w14:ligatures w14:val="none"/>
                </w:rPr>
                <w:t>NoComercial</w:t>
              </w:r>
              <w:proofErr w:type="spellEnd"/>
              <w:r w:rsidRPr="00174BA9">
                <w:rPr>
                  <w:rFonts w:ascii="Calibri" w:eastAsia="Calibri" w:hAnsi="Calibri" w:cs="Times New Roman"/>
                  <w:color w:val="FFFFFF"/>
                  <w:kern w:val="0"/>
                  <w:sz w:val="20"/>
                  <w:lang w:val="es-ES"/>
                  <w14:ligatures w14:val="none"/>
                </w:rPr>
                <w:t xml:space="preserve"> 4.0 Internacional (CC BY-NC 4.0)</w:t>
              </w:r>
            </w:p>
          </w:tc>
        </w:tr>
        <w:tr w:rsidR="00174BA9" w:rsidRPr="00174BA9" w14:paraId="46E09D2F" w14:textId="77777777" w:rsidTr="00174BA9">
          <w:trPr>
            <w:trHeight w:val="14"/>
            <w:jc w:val="center"/>
          </w:trPr>
          <w:tc>
            <w:tcPr>
              <w:tcW w:w="10085" w:type="dxa"/>
              <w:gridSpan w:val="2"/>
              <w:shd w:val="clear" w:color="auto" w:fill="FFFFFF"/>
              <w:tcMar>
                <w:top w:w="144" w:type="dxa"/>
                <w:left w:w="115" w:type="dxa"/>
                <w:bottom w:w="144" w:type="dxa"/>
                <w:right w:w="115" w:type="dxa"/>
              </w:tcMar>
              <w:vAlign w:val="center"/>
            </w:tcPr>
            <w:p w14:paraId="7DCD4518" w14:textId="77777777" w:rsidR="00174BA9" w:rsidRPr="00174BA9" w:rsidRDefault="00174BA9" w:rsidP="00174BA9">
              <w:pPr>
                <w:spacing w:before="0" w:after="0" w:line="240" w:lineRule="auto"/>
                <w:jc w:val="center"/>
                <w:rPr>
                  <w:rFonts w:ascii="Calibri" w:eastAsia="Calibri" w:hAnsi="Calibri" w:cs="Times New Roman"/>
                  <w:color w:val="FFFFFF"/>
                  <w:kern w:val="0"/>
                  <w:sz w:val="20"/>
                  <w:lang w:val="es-ES"/>
                  <w14:ligatures w14:val="none"/>
                </w:rPr>
              </w:pPr>
              <w:r w:rsidRPr="00174BA9">
                <w:rPr>
                  <w:rFonts w:ascii="Calibri" w:eastAsia="Calibri" w:hAnsi="Calibri" w:cs="Times New Roman"/>
                  <w:color w:val="833C0B"/>
                  <w:kern w:val="0"/>
                  <w:sz w:val="20"/>
                  <w:lang w:val="es-ES"/>
                  <w14:ligatures w14:val="none"/>
                </w:rPr>
                <w:t>Calle 41 No. 3406 e/34 y 36 Playa, La Habana, Cuba.    /   revista@iccp.rimed.cu   /   www.cienciaspedagogicas.rimed.cu</w:t>
              </w:r>
            </w:p>
          </w:tc>
        </w:tr>
      </w:tbl>
      <w:bookmarkEnd w:id="3"/>
      <w:p w14:paraId="31FAEA78" w14:textId="77777777" w:rsidR="00174BA9" w:rsidRDefault="00174BA9" w:rsidP="00174BA9">
        <w:pPr>
          <w:pStyle w:val="Piedepgina"/>
          <w:jc w:val="center"/>
        </w:pPr>
        <w:r>
          <w:fldChar w:fldCharType="begin"/>
        </w:r>
        <w:r>
          <w:instrText>PAGE   \* MERGEFORMAT</w:instrText>
        </w:r>
        <w:r>
          <w:fldChar w:fldCharType="separate"/>
        </w:r>
        <w:r>
          <w:rPr>
            <w:lang w:val="es-ES"/>
          </w:rPr>
          <w:t>2</w:t>
        </w:r>
        <w:r>
          <w:fldChar w:fldCharType="end"/>
        </w:r>
      </w:p>
    </w:sdtContent>
  </w:sdt>
  <w:p w14:paraId="0201C1A2" w14:textId="77777777" w:rsidR="00174BA9" w:rsidRDefault="00174B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E9FC" w14:textId="77777777" w:rsidR="000A079A" w:rsidRDefault="000A079A">
      <w:pPr>
        <w:spacing w:before="0" w:after="0"/>
      </w:pPr>
      <w:r>
        <w:separator/>
      </w:r>
    </w:p>
  </w:footnote>
  <w:footnote w:type="continuationSeparator" w:id="0">
    <w:p w14:paraId="45E011AA" w14:textId="77777777" w:rsidR="000A079A" w:rsidRDefault="000A079A">
      <w:pPr>
        <w:spacing w:before="0" w:after="0"/>
      </w:pPr>
      <w:r>
        <w:continuationSeparator/>
      </w:r>
    </w:p>
  </w:footnote>
  <w:footnote w:id="1">
    <w:p w14:paraId="3422D02C" w14:textId="77777777" w:rsidR="00C15B6B" w:rsidRDefault="00000000">
      <w:pPr>
        <w:pStyle w:val="Textonotapie"/>
        <w:rPr>
          <w:lang w:val="es-ES"/>
        </w:rPr>
      </w:pPr>
      <w:r>
        <w:rPr>
          <w:rStyle w:val="Refdenotaalpie"/>
        </w:rPr>
        <w:footnoteRef/>
      </w:r>
      <w:r w:rsidRPr="00174BA9">
        <w:rPr>
          <w:lang w:val="es-ES"/>
        </w:rPr>
        <w:t xml:space="preserve"> Estudiante de maestría de la Universidad de Ciencias Pedagógicas “Enrique José Varona”. </w:t>
      </w:r>
    </w:p>
  </w:footnote>
  <w:footnote w:id="2">
    <w:p w14:paraId="3698EE58" w14:textId="77777777" w:rsidR="00C15B6B" w:rsidRDefault="00000000">
      <w:pPr>
        <w:pStyle w:val="Textonotapie"/>
        <w:rPr>
          <w:lang w:val="es-ES"/>
        </w:rPr>
      </w:pPr>
      <w:r>
        <w:rPr>
          <w:rStyle w:val="Refdenotaalpie"/>
        </w:rPr>
        <w:footnoteRef/>
      </w:r>
      <w:r w:rsidRPr="00174BA9">
        <w:rPr>
          <w:lang w:val="es-ES"/>
        </w:rPr>
        <w:t xml:space="preserve"> </w:t>
      </w:r>
      <w:r w:rsidRPr="00174BA9">
        <w:rPr>
          <w:lang w:val="es-ES"/>
        </w:rPr>
        <w:t>Doctor Investigador, Docente de la Universidad de Ciencias Pedagógicas “Enrique José Varona”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174BA9" w:rsidRPr="00174BA9" w14:paraId="5E7946C5" w14:textId="77777777" w:rsidTr="00592F6E">
      <w:trPr>
        <w:jc w:val="center"/>
      </w:trPr>
      <w:tc>
        <w:tcPr>
          <w:tcW w:w="5382" w:type="dxa"/>
          <w:tcMar>
            <w:top w:w="72" w:type="dxa"/>
            <w:left w:w="115" w:type="dxa"/>
            <w:bottom w:w="72" w:type="dxa"/>
            <w:right w:w="115" w:type="dxa"/>
          </w:tcMar>
          <w:vAlign w:val="center"/>
        </w:tcPr>
        <w:p w14:paraId="4A0D35F3" w14:textId="77777777" w:rsidR="00174BA9" w:rsidRPr="00174BA9" w:rsidRDefault="00174BA9" w:rsidP="00174BA9">
          <w:pPr>
            <w:spacing w:before="0" w:after="0" w:line="240" w:lineRule="auto"/>
            <w:jc w:val="center"/>
            <w:rPr>
              <w:rFonts w:ascii="Arial" w:eastAsia="Calibri" w:hAnsi="Arial" w:cs="Arial"/>
              <w:b/>
              <w:kern w:val="0"/>
              <w:sz w:val="28"/>
              <w:szCs w:val="24"/>
              <w14:ligatures w14:val="none"/>
            </w:rPr>
          </w:pPr>
          <w:bookmarkStart w:id="2" w:name="_Hlk209968058"/>
          <w:r w:rsidRPr="00174BA9">
            <w:rPr>
              <w:rFonts w:ascii="Calibri" w:eastAsia="Calibri" w:hAnsi="Calibri" w:cs="Times New Roman"/>
              <w:noProof/>
              <w:kern w:val="0"/>
              <w:sz w:val="22"/>
              <w:lang w:val="es-CU" w:eastAsia="es-CU"/>
              <w14:ligatures w14:val="none"/>
            </w:rPr>
            <w:drawing>
              <wp:inline distT="0" distB="0" distL="0" distR="0" wp14:anchorId="7A9A7E9E" wp14:editId="13F85FD3">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77DB79E0" w14:textId="77777777" w:rsidR="00174BA9" w:rsidRPr="00174BA9" w:rsidRDefault="00174BA9" w:rsidP="00174BA9">
          <w:pPr>
            <w:spacing w:before="0" w:after="0" w:line="240" w:lineRule="auto"/>
            <w:jc w:val="center"/>
            <w:rPr>
              <w:rFonts w:ascii="Calibri" w:eastAsia="Calibri" w:hAnsi="Calibri" w:cs="Times New Roman"/>
              <w:b/>
              <w:color w:val="FFFFFF"/>
              <w:kern w:val="0"/>
              <w:sz w:val="18"/>
              <w:szCs w:val="18"/>
              <w:lang w:val="es-CU"/>
              <w14:ligatures w14:val="none"/>
            </w:rPr>
          </w:pPr>
          <w:r w:rsidRPr="00174BA9">
            <w:rPr>
              <w:rFonts w:ascii="Calibri" w:eastAsia="Calibri" w:hAnsi="Calibri" w:cs="Times New Roman"/>
              <w:b/>
              <w:color w:val="FFFFFF"/>
              <w:kern w:val="0"/>
              <w:sz w:val="18"/>
              <w:szCs w:val="18"/>
              <w:lang w:val="es-CU"/>
              <w14:ligatures w14:val="none"/>
            </w:rPr>
            <w:t>ISSN: 1605 – 5888    RNPS: 1844</w:t>
          </w:r>
        </w:p>
        <w:p w14:paraId="39DF74F8" w14:textId="77777777" w:rsidR="00174BA9" w:rsidRPr="00174BA9" w:rsidRDefault="00174BA9" w:rsidP="00174BA9">
          <w:pPr>
            <w:spacing w:before="0" w:after="0" w:line="240" w:lineRule="auto"/>
            <w:jc w:val="center"/>
            <w:rPr>
              <w:rFonts w:ascii="Calibri" w:eastAsia="Calibri" w:hAnsi="Calibri" w:cs="Times New Roman"/>
              <w:b/>
              <w:color w:val="FFFFFF"/>
              <w:kern w:val="0"/>
              <w:sz w:val="18"/>
              <w:szCs w:val="18"/>
              <w:lang w:val="es-CU"/>
              <w14:ligatures w14:val="none"/>
            </w:rPr>
          </w:pPr>
          <w:r w:rsidRPr="00174BA9">
            <w:rPr>
              <w:rFonts w:ascii="Calibri" w:eastAsia="Calibri" w:hAnsi="Calibri" w:cs="Times New Roman"/>
              <w:b/>
              <w:color w:val="FFFFFF"/>
              <w:kern w:val="0"/>
              <w:sz w:val="18"/>
              <w:szCs w:val="18"/>
              <w:lang w:val="es-CU"/>
              <w14:ligatures w14:val="none"/>
            </w:rPr>
            <w:t xml:space="preserve">V.18. No.2 (mayo-agosto) Año 2025, 4ta Etapa </w:t>
          </w:r>
        </w:p>
        <w:p w14:paraId="4C972BD4" w14:textId="77777777" w:rsidR="00174BA9" w:rsidRPr="00174BA9" w:rsidRDefault="00174BA9" w:rsidP="00174BA9">
          <w:pPr>
            <w:spacing w:before="0" w:after="0" w:line="240" w:lineRule="auto"/>
            <w:jc w:val="center"/>
            <w:rPr>
              <w:rFonts w:ascii="Arial" w:eastAsia="Calibri" w:hAnsi="Arial" w:cs="Arial"/>
              <w:b/>
              <w:kern w:val="0"/>
              <w:sz w:val="28"/>
              <w:szCs w:val="24"/>
              <w14:ligatures w14:val="none"/>
            </w:rPr>
          </w:pPr>
          <w:proofErr w:type="spellStart"/>
          <w:r w:rsidRPr="00174BA9">
            <w:rPr>
              <w:rFonts w:ascii="Calibri" w:eastAsia="Calibri" w:hAnsi="Calibri" w:cs="Times New Roman"/>
              <w:b/>
              <w:color w:val="FFFFFF"/>
              <w:kern w:val="0"/>
              <w:sz w:val="18"/>
              <w:szCs w:val="18"/>
              <w14:ligatures w14:val="none"/>
            </w:rPr>
            <w:t>Págs</w:t>
          </w:r>
          <w:proofErr w:type="spellEnd"/>
          <w:r w:rsidRPr="00174BA9">
            <w:rPr>
              <w:rFonts w:ascii="Calibri" w:eastAsia="Calibri" w:hAnsi="Calibri" w:cs="Times New Roman"/>
              <w:b/>
              <w:color w:val="FFFFFF"/>
              <w:kern w:val="0"/>
              <w:sz w:val="18"/>
              <w:szCs w:val="18"/>
              <w14:ligatures w14:val="none"/>
            </w:rPr>
            <w:t>. 2</w:t>
          </w:r>
          <w:r>
            <w:rPr>
              <w:rFonts w:ascii="Calibri" w:eastAsia="Calibri" w:hAnsi="Calibri" w:cs="Times New Roman"/>
              <w:b/>
              <w:color w:val="FFFFFF"/>
              <w:kern w:val="0"/>
              <w:sz w:val="18"/>
              <w:szCs w:val="18"/>
              <w14:ligatures w14:val="none"/>
            </w:rPr>
            <w:t>88-307</w:t>
          </w:r>
        </w:p>
      </w:tc>
    </w:tr>
    <w:bookmarkEnd w:id="2"/>
  </w:tbl>
  <w:p w14:paraId="6D9CDCD7" w14:textId="77777777" w:rsidR="00C15B6B" w:rsidRDefault="00C15B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BD"/>
    <w:rsid w:val="00000377"/>
    <w:rsid w:val="00074262"/>
    <w:rsid w:val="000A079A"/>
    <w:rsid w:val="00123A27"/>
    <w:rsid w:val="00165153"/>
    <w:rsid w:val="00174BA9"/>
    <w:rsid w:val="00193C63"/>
    <w:rsid w:val="001A3193"/>
    <w:rsid w:val="001E4C95"/>
    <w:rsid w:val="00252846"/>
    <w:rsid w:val="00256036"/>
    <w:rsid w:val="00293520"/>
    <w:rsid w:val="002A13E6"/>
    <w:rsid w:val="002A587E"/>
    <w:rsid w:val="00321C66"/>
    <w:rsid w:val="00327EC8"/>
    <w:rsid w:val="00354314"/>
    <w:rsid w:val="00354ABA"/>
    <w:rsid w:val="00390401"/>
    <w:rsid w:val="003A3F1E"/>
    <w:rsid w:val="003A619A"/>
    <w:rsid w:val="0042444F"/>
    <w:rsid w:val="00435370"/>
    <w:rsid w:val="004C0073"/>
    <w:rsid w:val="00597729"/>
    <w:rsid w:val="005D0B35"/>
    <w:rsid w:val="005E4289"/>
    <w:rsid w:val="005F521D"/>
    <w:rsid w:val="00607755"/>
    <w:rsid w:val="0061471C"/>
    <w:rsid w:val="006430D3"/>
    <w:rsid w:val="0065234A"/>
    <w:rsid w:val="00675E06"/>
    <w:rsid w:val="006A2C6E"/>
    <w:rsid w:val="006C1B1D"/>
    <w:rsid w:val="006D6C27"/>
    <w:rsid w:val="006F1F86"/>
    <w:rsid w:val="0070093B"/>
    <w:rsid w:val="007167BD"/>
    <w:rsid w:val="0077618D"/>
    <w:rsid w:val="00786860"/>
    <w:rsid w:val="007A3BAE"/>
    <w:rsid w:val="007A5AB6"/>
    <w:rsid w:val="007D6F1A"/>
    <w:rsid w:val="0083086F"/>
    <w:rsid w:val="00835DC3"/>
    <w:rsid w:val="008523FA"/>
    <w:rsid w:val="008538A9"/>
    <w:rsid w:val="00863961"/>
    <w:rsid w:val="008A7A39"/>
    <w:rsid w:val="008D4CDD"/>
    <w:rsid w:val="008E1DF1"/>
    <w:rsid w:val="008F76F2"/>
    <w:rsid w:val="009510CF"/>
    <w:rsid w:val="00976508"/>
    <w:rsid w:val="009A5DDE"/>
    <w:rsid w:val="009B4024"/>
    <w:rsid w:val="009D5E40"/>
    <w:rsid w:val="00A07F30"/>
    <w:rsid w:val="00A143E2"/>
    <w:rsid w:val="00A40A8E"/>
    <w:rsid w:val="00AC258F"/>
    <w:rsid w:val="00AC67AA"/>
    <w:rsid w:val="00AD2477"/>
    <w:rsid w:val="00AE2912"/>
    <w:rsid w:val="00B27799"/>
    <w:rsid w:val="00B32A98"/>
    <w:rsid w:val="00B36BB0"/>
    <w:rsid w:val="00B64FA5"/>
    <w:rsid w:val="00B86351"/>
    <w:rsid w:val="00B94717"/>
    <w:rsid w:val="00BB665D"/>
    <w:rsid w:val="00BC46D4"/>
    <w:rsid w:val="00BD3156"/>
    <w:rsid w:val="00BD6E18"/>
    <w:rsid w:val="00C06108"/>
    <w:rsid w:val="00C15B6B"/>
    <w:rsid w:val="00C226C3"/>
    <w:rsid w:val="00C6076C"/>
    <w:rsid w:val="00C641EE"/>
    <w:rsid w:val="00C66250"/>
    <w:rsid w:val="00C75D9A"/>
    <w:rsid w:val="00C8695B"/>
    <w:rsid w:val="00CB2516"/>
    <w:rsid w:val="00CB33C7"/>
    <w:rsid w:val="00CC606A"/>
    <w:rsid w:val="00CD1AAF"/>
    <w:rsid w:val="00D04632"/>
    <w:rsid w:val="00D1784E"/>
    <w:rsid w:val="00D57C4C"/>
    <w:rsid w:val="00D57D14"/>
    <w:rsid w:val="00D726C6"/>
    <w:rsid w:val="00DA38BD"/>
    <w:rsid w:val="00DA7A7A"/>
    <w:rsid w:val="00DC03EC"/>
    <w:rsid w:val="00DD0961"/>
    <w:rsid w:val="00E1361D"/>
    <w:rsid w:val="00E351D5"/>
    <w:rsid w:val="00E56EB8"/>
    <w:rsid w:val="00ED2E14"/>
    <w:rsid w:val="00EF4324"/>
    <w:rsid w:val="00EF7E6F"/>
    <w:rsid w:val="00F311B6"/>
    <w:rsid w:val="00F372B2"/>
    <w:rsid w:val="00F518EA"/>
    <w:rsid w:val="00F5534F"/>
    <w:rsid w:val="00F73BF5"/>
    <w:rsid w:val="00FD64AC"/>
    <w:rsid w:val="4EE73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CED6"/>
  <w15:docId w15:val="{9C95B64F-DACC-44B1-8E7F-94421156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240" w:line="360" w:lineRule="auto"/>
    </w:pPr>
    <w:rPr>
      <w:rFonts w:ascii="Times New Roman" w:hAnsi="Times New Roman"/>
      <w:kern w:val="2"/>
      <w:sz w:val="24"/>
      <w:szCs w:val="22"/>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before="0" w:after="0" w:line="240" w:lineRule="auto"/>
    </w:pPr>
    <w:rPr>
      <w:sz w:val="20"/>
      <w:szCs w:val="20"/>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rPr>
      <w:color w:val="467886" w:themeColor="hyperlink"/>
      <w:u w:val="single"/>
    </w:rPr>
  </w:style>
  <w:style w:type="paragraph" w:styleId="NormalWeb">
    <w:name w:val="Normal (Web)"/>
    <w:basedOn w:val="Normal"/>
    <w:uiPriority w:val="99"/>
    <w:semiHidden/>
    <w:unhideWhenUsed/>
    <w:rPr>
      <w:rFonts w:cs="Times New Roman"/>
      <w:szCs w:val="24"/>
    </w:rPr>
  </w:style>
  <w:style w:type="character" w:styleId="Textoennegrita">
    <w:name w:val="Strong"/>
    <w:basedOn w:val="Fuentedeprrafopredeter"/>
    <w:uiPriority w:val="22"/>
    <w:qFormat/>
    <w:rPr>
      <w:b/>
      <w:bCs/>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Sinespaciado">
    <w:name w:val="No Spacing"/>
    <w:uiPriority w:val="1"/>
    <w:qFormat/>
    <w:rPr>
      <w:kern w:val="2"/>
      <w:sz w:val="22"/>
      <w:szCs w:val="22"/>
      <w14:ligatures w14:val="standardContextual"/>
    </w:rPr>
  </w:style>
  <w:style w:type="character" w:customStyle="1" w:styleId="EncabezadoCar">
    <w:name w:val="Encabezado Car"/>
    <w:basedOn w:val="Fuentedeprrafopredeter"/>
    <w:link w:val="Encabezado"/>
    <w:uiPriority w:val="99"/>
    <w:rPr>
      <w:sz w:val="22"/>
      <w:szCs w:val="22"/>
    </w:rPr>
  </w:style>
  <w:style w:type="character" w:customStyle="1" w:styleId="PiedepginaCar">
    <w:name w:val="Pie de página Car"/>
    <w:basedOn w:val="Fuentedeprrafopredeter"/>
    <w:link w:val="Piedepgina"/>
    <w:uiPriority w:val="99"/>
    <w:rPr>
      <w:sz w:val="22"/>
      <w:szCs w:val="22"/>
    </w:rPr>
  </w:style>
  <w:style w:type="table" w:customStyle="1" w:styleId="Tablaconcuadrcula1">
    <w:name w:val="Tabla con cuadrícula1"/>
    <w:basedOn w:val="Tabla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semiHidden/>
    <w:rPr>
      <w:rFonts w:ascii="Times New Roman" w:hAnsi="Times New Roman"/>
      <w:sz w:val="20"/>
      <w:szCs w:val="20"/>
    </w:rPr>
  </w:style>
  <w:style w:type="table" w:customStyle="1" w:styleId="Tablaconcuadrcula2">
    <w:name w:val="Tabla con cuadrícula2"/>
    <w:basedOn w:val="Tabla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74BA9"/>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0928-194X" TargetMode="External"/><Relationship Id="rId13" Type="http://schemas.openxmlformats.org/officeDocument/2006/relationships/hyperlink" Target="https://doi.org/10.1111/j.1365-2923.1986.tb01386.x" TargetMode="External"/><Relationship Id="rId18" Type="http://schemas.openxmlformats.org/officeDocument/2006/relationships/hyperlink" Target="https://doi.org/10.1023/B:EDPR.0000034022.16470.f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ucacion.gob.ec" TargetMode="External"/><Relationship Id="rId7" Type="http://schemas.openxmlformats.org/officeDocument/2006/relationships/hyperlink" Target="mailto:luisag.ramirez@gmail.com" TargetMode="External"/><Relationship Id="rId12" Type="http://schemas.openxmlformats.org/officeDocument/2006/relationships/image" Target="media/image2.png"/><Relationship Id="rId17" Type="http://schemas.openxmlformats.org/officeDocument/2006/relationships/hyperlink" Target="https://doi.org/10.1037/0022-0663.81.2.14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6/drev.1996.0010" TargetMode="External"/><Relationship Id="rId20" Type="http://schemas.openxmlformats.org/officeDocument/2006/relationships/hyperlink" Target="https://doi.org/10.1016/S0364-0213(87)80026-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22329/il.v18i2.2378" TargetMode="External"/><Relationship Id="rId23" Type="http://schemas.openxmlformats.org/officeDocument/2006/relationships/hyperlink" Target="https://unesdoc.unesco.org" TargetMode="External"/><Relationship Id="rId10" Type="http://schemas.openxmlformats.org/officeDocument/2006/relationships/hyperlink" Target="https://orcid.org/0000-0002-4688-5831" TargetMode="External"/><Relationship Id="rId19" Type="http://schemas.openxmlformats.org/officeDocument/2006/relationships/hyperlink" Target="https://doi.org/10.1007/s11858-011-0310-5" TargetMode="External"/><Relationship Id="rId4" Type="http://schemas.openxmlformats.org/officeDocument/2006/relationships/webSettings" Target="webSettings.xml"/><Relationship Id="rId9" Type="http://schemas.openxmlformats.org/officeDocument/2006/relationships/hyperlink" Target="mailto:juliofgh@ucpejv.edu.cu" TargetMode="External"/><Relationship Id="rId14" Type="http://schemas.openxmlformats.org/officeDocument/2006/relationships/hyperlink" Target="https://doi.org/10.3102/00028312025001051" TargetMode="External"/><Relationship Id="rId22" Type="http://schemas.openxmlformats.org/officeDocument/2006/relationships/hyperlink" Target="https://doi.org/10.1007/s11858-997-0003-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148E-C9EC-4C1A-B918-52A28FA5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4827</Words>
  <Characters>27518</Characters>
  <Application>Microsoft Office Word</Application>
  <DocSecurity>0</DocSecurity>
  <Lines>229</Lines>
  <Paragraphs>64</Paragraphs>
  <ScaleCrop>false</ScaleCrop>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ramirez</dc:creator>
  <cp:lastModifiedBy>Enrique Orouri</cp:lastModifiedBy>
  <cp:revision>58</cp:revision>
  <cp:lastPrinted>2025-09-28T20:06:00Z</cp:lastPrinted>
  <dcterms:created xsi:type="dcterms:W3CDTF">2025-05-25T20:25:00Z</dcterms:created>
  <dcterms:modified xsi:type="dcterms:W3CDTF">2025-09-28T20:08:00Z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4ED64F6503E247E6939CA4E869B04FFA_12</vt:lpwstr>
  </property>
</Properties>
</file>