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65C3A" w14:textId="77777777" w:rsidR="001E69D3" w:rsidRPr="00BE33CA" w:rsidRDefault="001E69D3" w:rsidP="00BE33CA">
      <w:pPr>
        <w:widowControl w:val="0"/>
        <w:spacing w:after="0" w:line="360" w:lineRule="auto"/>
        <w:jc w:val="center"/>
        <w:rPr>
          <w:rFonts w:ascii="Times New Roman" w:hAnsi="Times New Roman" w:cs="Times New Roman"/>
          <w:b/>
          <w:sz w:val="24"/>
          <w:szCs w:val="24"/>
        </w:rPr>
      </w:pPr>
      <w:r w:rsidRPr="00BE33CA">
        <w:rPr>
          <w:rFonts w:ascii="Times New Roman" w:hAnsi="Times New Roman" w:cs="Times New Roman"/>
          <w:b/>
          <w:sz w:val="24"/>
          <w:szCs w:val="24"/>
        </w:rPr>
        <w:t>El legado de Martí en la juventud cubana: educación, identidad y acción social</w:t>
      </w:r>
    </w:p>
    <w:p w14:paraId="6F8CF15D" w14:textId="6BE84215" w:rsidR="001E69D3" w:rsidRPr="00BE33CA" w:rsidRDefault="006C63C2" w:rsidP="00BE33CA">
      <w:pPr>
        <w:widowControl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Martí’s Legacy in Cuban youth: education, identity, and social a</w:t>
      </w:r>
      <w:r w:rsidR="001E69D3" w:rsidRPr="00BE33CA">
        <w:rPr>
          <w:rFonts w:ascii="Times New Roman" w:hAnsi="Times New Roman" w:cs="Times New Roman"/>
          <w:sz w:val="24"/>
          <w:szCs w:val="24"/>
          <w:lang w:val="en-US"/>
        </w:rPr>
        <w:t>ction</w:t>
      </w:r>
    </w:p>
    <w:p w14:paraId="0D1463E4" w14:textId="77777777" w:rsidR="001E69D3" w:rsidRPr="00BE33CA" w:rsidRDefault="001E69D3" w:rsidP="00BE33CA">
      <w:pPr>
        <w:widowControl w:val="0"/>
        <w:spacing w:after="0" w:line="360" w:lineRule="auto"/>
        <w:jc w:val="right"/>
        <w:rPr>
          <w:rFonts w:ascii="Times New Roman" w:hAnsi="Times New Roman" w:cs="Times New Roman"/>
          <w:b/>
          <w:i/>
          <w:sz w:val="24"/>
          <w:szCs w:val="24"/>
        </w:rPr>
      </w:pPr>
      <w:r w:rsidRPr="00BE33CA">
        <w:rPr>
          <w:rFonts w:ascii="Times New Roman" w:hAnsi="Times New Roman" w:cs="Times New Roman"/>
          <w:b/>
          <w:bCs/>
          <w:i/>
          <w:iCs/>
          <w:sz w:val="24"/>
          <w:szCs w:val="24"/>
        </w:rPr>
        <w:t xml:space="preserve">Artículo investigación </w:t>
      </w:r>
    </w:p>
    <w:p w14:paraId="6248D2E8" w14:textId="77777777" w:rsidR="001E69D3" w:rsidRPr="00BE33CA" w:rsidRDefault="001E69D3" w:rsidP="00BE33CA">
      <w:pPr>
        <w:widowControl w:val="0"/>
        <w:spacing w:line="360" w:lineRule="auto"/>
        <w:rPr>
          <w:rFonts w:ascii="Times New Roman" w:hAnsi="Times New Roman" w:cs="Times New Roman"/>
          <w:b/>
          <w:sz w:val="24"/>
          <w:szCs w:val="24"/>
        </w:rPr>
      </w:pPr>
      <w:r w:rsidRPr="00BE33CA">
        <w:rPr>
          <w:rFonts w:ascii="Times New Roman" w:hAnsi="Times New Roman" w:cs="Times New Roman"/>
          <w:b/>
          <w:sz w:val="24"/>
          <w:szCs w:val="24"/>
        </w:rPr>
        <w:t>AUTOR (ES):</w:t>
      </w:r>
    </w:p>
    <w:p w14:paraId="1ECFE726" w14:textId="2F858006" w:rsidR="001E69D3" w:rsidRPr="00BE33CA" w:rsidRDefault="001E69D3" w:rsidP="00AC5A97">
      <w:pPr>
        <w:widowControl w:val="0"/>
        <w:spacing w:after="0" w:line="240" w:lineRule="auto"/>
        <w:ind w:left="425"/>
        <w:rPr>
          <w:rFonts w:ascii="Times New Roman" w:hAnsi="Times New Roman" w:cs="Times New Roman"/>
          <w:sz w:val="24"/>
          <w:szCs w:val="24"/>
        </w:rPr>
      </w:pPr>
      <w:r w:rsidRPr="00BE33CA">
        <w:rPr>
          <w:rFonts w:ascii="Times New Roman" w:hAnsi="Times New Roman" w:cs="Times New Roman"/>
          <w:sz w:val="24"/>
          <w:szCs w:val="24"/>
        </w:rPr>
        <w:t xml:space="preserve">Lic. Caridad </w:t>
      </w:r>
      <w:proofErr w:type="spellStart"/>
      <w:r w:rsidRPr="00BE33CA">
        <w:rPr>
          <w:rFonts w:ascii="Times New Roman" w:hAnsi="Times New Roman" w:cs="Times New Roman"/>
          <w:sz w:val="24"/>
          <w:szCs w:val="24"/>
        </w:rPr>
        <w:t>Meyvis</w:t>
      </w:r>
      <w:proofErr w:type="spellEnd"/>
      <w:r w:rsidRPr="00BE33CA">
        <w:rPr>
          <w:rFonts w:ascii="Times New Roman" w:hAnsi="Times New Roman" w:cs="Times New Roman"/>
          <w:sz w:val="24"/>
          <w:szCs w:val="24"/>
        </w:rPr>
        <w:t xml:space="preserve"> Estévez Echevarría</w:t>
      </w:r>
      <w:r w:rsidR="00202A16">
        <w:rPr>
          <w:rStyle w:val="Refdenotaalpie"/>
          <w:rFonts w:ascii="Times New Roman" w:hAnsi="Times New Roman" w:cs="Times New Roman"/>
          <w:sz w:val="24"/>
          <w:szCs w:val="24"/>
        </w:rPr>
        <w:footnoteReference w:id="1"/>
      </w:r>
    </w:p>
    <w:p w14:paraId="28E3609E" w14:textId="77777777" w:rsidR="001E69D3" w:rsidRPr="00BE33CA" w:rsidRDefault="001E69D3" w:rsidP="00AC5A97">
      <w:pPr>
        <w:widowControl w:val="0"/>
        <w:spacing w:after="0" w:line="240" w:lineRule="auto"/>
        <w:ind w:left="425"/>
        <w:rPr>
          <w:rFonts w:ascii="Times New Roman" w:hAnsi="Times New Roman" w:cs="Times New Roman"/>
          <w:i/>
          <w:sz w:val="24"/>
          <w:szCs w:val="24"/>
        </w:rPr>
      </w:pPr>
      <w:r w:rsidRPr="00BE33CA">
        <w:rPr>
          <w:rFonts w:ascii="Times New Roman" w:hAnsi="Times New Roman" w:cs="Times New Roman"/>
          <w:i/>
          <w:sz w:val="24"/>
          <w:szCs w:val="24"/>
        </w:rPr>
        <w:t>Correo: caridadmeyvis1991</w:t>
      </w:r>
      <w:r w:rsidRPr="00BE33CA">
        <w:rPr>
          <w:rFonts w:ascii="Times New Roman" w:hAnsi="Times New Roman" w:cs="Times New Roman"/>
          <w:sz w:val="24"/>
          <w:szCs w:val="24"/>
        </w:rPr>
        <w:t>@gmail.com</w:t>
      </w:r>
    </w:p>
    <w:p w14:paraId="35FE4FA3" w14:textId="109A789F" w:rsidR="001E69D3" w:rsidRPr="00BE33CA" w:rsidRDefault="005C1833" w:rsidP="00AC5A97">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w:t>
      </w:r>
      <w:r w:rsidR="001E69D3" w:rsidRPr="00BE33CA">
        <w:rPr>
          <w:rFonts w:ascii="Times New Roman" w:hAnsi="Times New Roman" w:cs="Times New Roman"/>
          <w:i/>
          <w:sz w:val="24"/>
          <w:szCs w:val="24"/>
        </w:rPr>
        <w:t>rcid</w:t>
      </w:r>
      <w:proofErr w:type="spellEnd"/>
      <w:r w:rsidR="001E69D3" w:rsidRPr="00BE33CA">
        <w:rPr>
          <w:rFonts w:ascii="Times New Roman" w:hAnsi="Times New Roman" w:cs="Times New Roman"/>
          <w:i/>
          <w:sz w:val="24"/>
          <w:szCs w:val="24"/>
        </w:rPr>
        <w:t>:</w:t>
      </w:r>
      <w:r w:rsidR="001E69D3" w:rsidRPr="00BE33CA">
        <w:rPr>
          <w:rFonts w:ascii="Times New Roman" w:hAnsi="Times New Roman" w:cs="Times New Roman"/>
          <w:sz w:val="24"/>
          <w:szCs w:val="24"/>
        </w:rPr>
        <w:t xml:space="preserve"> http://orcid.org/0009-0007-3155-5825</w:t>
      </w:r>
    </w:p>
    <w:p w14:paraId="7841E991" w14:textId="22A032CB" w:rsidR="001E69D3" w:rsidRPr="00BE33CA" w:rsidRDefault="001E69D3" w:rsidP="00AC5A97">
      <w:pPr>
        <w:widowControl w:val="0"/>
        <w:spacing w:after="120" w:line="360" w:lineRule="auto"/>
        <w:ind w:left="425"/>
        <w:rPr>
          <w:rFonts w:ascii="Times New Roman" w:hAnsi="Times New Roman" w:cs="Times New Roman"/>
          <w:sz w:val="24"/>
          <w:szCs w:val="24"/>
        </w:rPr>
      </w:pPr>
      <w:r w:rsidRPr="00BE33CA">
        <w:rPr>
          <w:rFonts w:ascii="Times New Roman" w:hAnsi="Times New Roman" w:cs="Times New Roman"/>
          <w:sz w:val="24"/>
          <w:szCs w:val="24"/>
        </w:rPr>
        <w:t>U</w:t>
      </w:r>
      <w:r w:rsidR="00202A16">
        <w:rPr>
          <w:rFonts w:ascii="Times New Roman" w:hAnsi="Times New Roman" w:cs="Times New Roman"/>
          <w:sz w:val="24"/>
          <w:szCs w:val="24"/>
        </w:rPr>
        <w:t xml:space="preserve">nión de Jóvenes Comunistas. La Habana, </w:t>
      </w:r>
      <w:r w:rsidRPr="00BE33CA">
        <w:rPr>
          <w:rFonts w:ascii="Times New Roman" w:hAnsi="Times New Roman" w:cs="Times New Roman"/>
          <w:sz w:val="24"/>
          <w:szCs w:val="24"/>
        </w:rPr>
        <w:t>Cuba</w:t>
      </w:r>
    </w:p>
    <w:p w14:paraId="13AA5936" w14:textId="6A38078C" w:rsidR="001E69D3" w:rsidRPr="00BE33CA" w:rsidRDefault="001E69D3" w:rsidP="00AC5A97">
      <w:pPr>
        <w:widowControl w:val="0"/>
        <w:spacing w:after="0" w:line="240" w:lineRule="auto"/>
        <w:ind w:left="425"/>
        <w:rPr>
          <w:rFonts w:ascii="Times New Roman" w:hAnsi="Times New Roman" w:cs="Times New Roman"/>
          <w:i/>
          <w:sz w:val="24"/>
          <w:szCs w:val="24"/>
        </w:rPr>
      </w:pPr>
      <w:r w:rsidRPr="00BE33CA">
        <w:rPr>
          <w:rFonts w:ascii="Times New Roman" w:hAnsi="Times New Roman" w:cs="Times New Roman"/>
          <w:sz w:val="24"/>
          <w:szCs w:val="24"/>
        </w:rPr>
        <w:t>Dr. C. Keyla Rosa Estévez García</w:t>
      </w:r>
      <w:r w:rsidR="00202A16">
        <w:rPr>
          <w:rStyle w:val="Refdenotaalpie"/>
          <w:rFonts w:ascii="Times New Roman" w:hAnsi="Times New Roman" w:cs="Times New Roman"/>
          <w:sz w:val="24"/>
          <w:szCs w:val="24"/>
        </w:rPr>
        <w:footnoteReference w:id="2"/>
      </w:r>
      <w:r w:rsidRPr="00BE33CA">
        <w:rPr>
          <w:rFonts w:ascii="Times New Roman" w:hAnsi="Times New Roman" w:cs="Times New Roman"/>
          <w:i/>
          <w:sz w:val="24"/>
          <w:szCs w:val="24"/>
        </w:rPr>
        <w:t xml:space="preserve"> </w:t>
      </w:r>
    </w:p>
    <w:p w14:paraId="092D3813" w14:textId="77777777" w:rsidR="001E69D3" w:rsidRPr="00BE33CA" w:rsidRDefault="001E69D3" w:rsidP="00AC5A97">
      <w:pPr>
        <w:widowControl w:val="0"/>
        <w:spacing w:after="0" w:line="240" w:lineRule="auto"/>
        <w:ind w:left="425"/>
        <w:rPr>
          <w:rFonts w:ascii="Times New Roman" w:hAnsi="Times New Roman" w:cs="Times New Roman"/>
          <w:i/>
          <w:sz w:val="24"/>
          <w:szCs w:val="24"/>
        </w:rPr>
      </w:pPr>
      <w:r w:rsidRPr="00BE33CA">
        <w:rPr>
          <w:rFonts w:ascii="Times New Roman" w:hAnsi="Times New Roman" w:cs="Times New Roman"/>
          <w:i/>
          <w:sz w:val="24"/>
          <w:szCs w:val="24"/>
        </w:rPr>
        <w:t>Correo:</w:t>
      </w:r>
      <w:r w:rsidRPr="00BE33CA">
        <w:rPr>
          <w:rFonts w:ascii="Times New Roman" w:hAnsi="Times New Roman" w:cs="Times New Roman"/>
          <w:sz w:val="24"/>
          <w:szCs w:val="24"/>
        </w:rPr>
        <w:t xml:space="preserve"> leplemus@yahoo.es</w:t>
      </w:r>
    </w:p>
    <w:p w14:paraId="26CCE102" w14:textId="19846D9C" w:rsidR="001E69D3" w:rsidRPr="00BE33CA" w:rsidRDefault="005C1833" w:rsidP="00AC5A97">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w:t>
      </w:r>
      <w:r w:rsidR="001E69D3" w:rsidRPr="00BE33CA">
        <w:rPr>
          <w:rFonts w:ascii="Times New Roman" w:hAnsi="Times New Roman" w:cs="Times New Roman"/>
          <w:i/>
          <w:sz w:val="24"/>
          <w:szCs w:val="24"/>
        </w:rPr>
        <w:t>rcid</w:t>
      </w:r>
      <w:proofErr w:type="spellEnd"/>
      <w:r w:rsidR="001E69D3" w:rsidRPr="00BE33CA">
        <w:rPr>
          <w:rFonts w:ascii="Times New Roman" w:hAnsi="Times New Roman" w:cs="Times New Roman"/>
          <w:i/>
          <w:sz w:val="24"/>
          <w:szCs w:val="24"/>
        </w:rPr>
        <w:t>:</w:t>
      </w:r>
      <w:r w:rsidR="001E69D3" w:rsidRPr="00BE33CA">
        <w:rPr>
          <w:rFonts w:ascii="Times New Roman" w:hAnsi="Times New Roman" w:cs="Times New Roman"/>
          <w:sz w:val="24"/>
          <w:szCs w:val="24"/>
        </w:rPr>
        <w:t xml:space="preserve"> http://orcid.org/0000-0002-6590-7186</w:t>
      </w:r>
    </w:p>
    <w:p w14:paraId="1CE0D4BB" w14:textId="036F60FF" w:rsidR="001E69D3" w:rsidRPr="00BE33CA" w:rsidRDefault="001E69D3" w:rsidP="00AC5A97">
      <w:pPr>
        <w:widowControl w:val="0"/>
        <w:spacing w:after="120" w:line="360" w:lineRule="auto"/>
        <w:ind w:left="425"/>
        <w:rPr>
          <w:rFonts w:ascii="Times New Roman" w:hAnsi="Times New Roman" w:cs="Times New Roman"/>
          <w:sz w:val="24"/>
          <w:szCs w:val="24"/>
        </w:rPr>
      </w:pPr>
      <w:r w:rsidRPr="00BE33CA">
        <w:rPr>
          <w:rFonts w:ascii="Times New Roman" w:hAnsi="Times New Roman" w:cs="Times New Roman"/>
          <w:sz w:val="24"/>
          <w:szCs w:val="24"/>
        </w:rPr>
        <w:t>Dirección General de Educación Playa,</w:t>
      </w:r>
      <w:r w:rsidR="00202A16">
        <w:rPr>
          <w:rFonts w:ascii="Times New Roman" w:hAnsi="Times New Roman" w:cs="Times New Roman"/>
          <w:sz w:val="24"/>
          <w:szCs w:val="24"/>
        </w:rPr>
        <w:t xml:space="preserve"> La Habana, </w:t>
      </w:r>
      <w:r w:rsidR="00202A16" w:rsidRPr="00BE33CA">
        <w:rPr>
          <w:rFonts w:ascii="Times New Roman" w:hAnsi="Times New Roman" w:cs="Times New Roman"/>
          <w:sz w:val="24"/>
          <w:szCs w:val="24"/>
        </w:rPr>
        <w:t>Cuba</w:t>
      </w:r>
    </w:p>
    <w:p w14:paraId="784DDCF3" w14:textId="62E8B8BA" w:rsidR="001E69D3" w:rsidRPr="006C63C2" w:rsidRDefault="001E69D3" w:rsidP="00AC5A97">
      <w:pPr>
        <w:widowControl w:val="0"/>
        <w:spacing w:after="0" w:line="240" w:lineRule="auto"/>
        <w:ind w:left="425"/>
        <w:rPr>
          <w:rFonts w:ascii="Times New Roman" w:hAnsi="Times New Roman" w:cs="Times New Roman"/>
          <w:i/>
          <w:sz w:val="24"/>
          <w:szCs w:val="24"/>
          <w:lang w:val="en-US"/>
        </w:rPr>
      </w:pPr>
      <w:r w:rsidRPr="006C63C2">
        <w:rPr>
          <w:rFonts w:ascii="Times New Roman" w:hAnsi="Times New Roman" w:cs="Times New Roman"/>
          <w:sz w:val="24"/>
          <w:szCs w:val="24"/>
          <w:lang w:val="en-US"/>
        </w:rPr>
        <w:t xml:space="preserve">M .Sc.  Gretell </w:t>
      </w:r>
      <w:proofErr w:type="spellStart"/>
      <w:r w:rsidRPr="006C63C2">
        <w:rPr>
          <w:rFonts w:ascii="Times New Roman" w:hAnsi="Times New Roman" w:cs="Times New Roman"/>
          <w:sz w:val="24"/>
          <w:szCs w:val="24"/>
          <w:lang w:val="en-US"/>
        </w:rPr>
        <w:t>Centurión</w:t>
      </w:r>
      <w:proofErr w:type="spellEnd"/>
      <w:r w:rsidRPr="006C63C2">
        <w:rPr>
          <w:rFonts w:ascii="Times New Roman" w:hAnsi="Times New Roman" w:cs="Times New Roman"/>
          <w:sz w:val="24"/>
          <w:szCs w:val="24"/>
          <w:lang w:val="en-US"/>
        </w:rPr>
        <w:t xml:space="preserve"> Hurtado</w:t>
      </w:r>
      <w:r w:rsidR="00202A16">
        <w:rPr>
          <w:rStyle w:val="Refdenotaalpie"/>
          <w:rFonts w:ascii="Times New Roman" w:hAnsi="Times New Roman" w:cs="Times New Roman"/>
          <w:sz w:val="24"/>
          <w:szCs w:val="24"/>
        </w:rPr>
        <w:footnoteReference w:id="3"/>
      </w:r>
      <w:r w:rsidRPr="006C63C2">
        <w:rPr>
          <w:rFonts w:ascii="Times New Roman" w:hAnsi="Times New Roman" w:cs="Times New Roman"/>
          <w:i/>
          <w:sz w:val="24"/>
          <w:szCs w:val="24"/>
          <w:lang w:val="en-US"/>
        </w:rPr>
        <w:t xml:space="preserve"> </w:t>
      </w:r>
    </w:p>
    <w:p w14:paraId="5E22605E" w14:textId="77777777" w:rsidR="001E69D3" w:rsidRPr="00BE33CA" w:rsidRDefault="001E69D3" w:rsidP="00AC5A97">
      <w:pPr>
        <w:widowControl w:val="0"/>
        <w:spacing w:after="0" w:line="240" w:lineRule="auto"/>
        <w:ind w:left="425"/>
        <w:rPr>
          <w:rFonts w:ascii="Times New Roman" w:hAnsi="Times New Roman" w:cs="Times New Roman"/>
          <w:i/>
          <w:sz w:val="24"/>
          <w:szCs w:val="24"/>
        </w:rPr>
      </w:pPr>
      <w:r w:rsidRPr="00BE33CA">
        <w:rPr>
          <w:rFonts w:ascii="Times New Roman" w:hAnsi="Times New Roman" w:cs="Times New Roman"/>
          <w:i/>
          <w:sz w:val="24"/>
          <w:szCs w:val="24"/>
        </w:rPr>
        <w:t xml:space="preserve">Correo: </w:t>
      </w:r>
      <w:r w:rsidRPr="00BE33CA">
        <w:rPr>
          <w:rFonts w:ascii="Times New Roman" w:hAnsi="Times New Roman" w:cs="Times New Roman"/>
          <w:sz w:val="24"/>
          <w:szCs w:val="24"/>
        </w:rPr>
        <w:t>gretellcenturion86@gmail.com</w:t>
      </w:r>
    </w:p>
    <w:p w14:paraId="67D7ED5B" w14:textId="6F1F567E" w:rsidR="001E69D3" w:rsidRPr="00BE33CA" w:rsidRDefault="005C1833" w:rsidP="00AC5A97">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w:t>
      </w:r>
      <w:r w:rsidR="001E69D3" w:rsidRPr="00BE33CA">
        <w:rPr>
          <w:rFonts w:ascii="Times New Roman" w:hAnsi="Times New Roman" w:cs="Times New Roman"/>
          <w:i/>
          <w:sz w:val="24"/>
          <w:szCs w:val="24"/>
        </w:rPr>
        <w:t>rcid</w:t>
      </w:r>
      <w:proofErr w:type="spellEnd"/>
      <w:r w:rsidR="001E69D3" w:rsidRPr="00BE33CA">
        <w:rPr>
          <w:rFonts w:ascii="Times New Roman" w:hAnsi="Times New Roman" w:cs="Times New Roman"/>
          <w:i/>
          <w:sz w:val="24"/>
          <w:szCs w:val="24"/>
        </w:rPr>
        <w:t>:</w:t>
      </w:r>
      <w:r w:rsidR="001E69D3" w:rsidRPr="00BE33CA">
        <w:rPr>
          <w:rFonts w:ascii="Times New Roman" w:hAnsi="Times New Roman" w:cs="Times New Roman"/>
          <w:sz w:val="24"/>
          <w:szCs w:val="24"/>
        </w:rPr>
        <w:t xml:space="preserve"> https://orcid.org/0000-0001-7325-0930</w:t>
      </w:r>
    </w:p>
    <w:p w14:paraId="61B9BBE2" w14:textId="77777777" w:rsidR="001E69D3" w:rsidRPr="00BE33CA" w:rsidRDefault="001E69D3" w:rsidP="00BE33CA">
      <w:pPr>
        <w:widowControl w:val="0"/>
        <w:spacing w:after="240" w:line="360" w:lineRule="auto"/>
        <w:ind w:left="426"/>
        <w:rPr>
          <w:rFonts w:ascii="Times New Roman" w:hAnsi="Times New Roman" w:cs="Times New Roman"/>
          <w:sz w:val="24"/>
          <w:szCs w:val="24"/>
        </w:rPr>
      </w:pPr>
      <w:r w:rsidRPr="00BE33CA">
        <w:rPr>
          <w:rFonts w:ascii="Times New Roman" w:hAnsi="Times New Roman" w:cs="Times New Roman"/>
          <w:sz w:val="24"/>
          <w:szCs w:val="24"/>
        </w:rPr>
        <w:t>Secundaria Básica “Amador López Mosquera”, 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E69D3" w:rsidRPr="00BE33CA" w14:paraId="7471C18D" w14:textId="77777777" w:rsidTr="00E729B4">
        <w:tc>
          <w:tcPr>
            <w:tcW w:w="2942" w:type="dxa"/>
            <w:shd w:val="clear" w:color="auto" w:fill="00B0F0"/>
          </w:tcPr>
          <w:p w14:paraId="2D69C8A9" w14:textId="77777777" w:rsidR="001E69D3" w:rsidRPr="00BE33CA" w:rsidRDefault="001E69D3" w:rsidP="00BE33CA">
            <w:pPr>
              <w:widowControl w:val="0"/>
              <w:spacing w:line="360" w:lineRule="auto"/>
              <w:jc w:val="center"/>
              <w:rPr>
                <w:rFonts w:ascii="Times New Roman" w:hAnsi="Times New Roman" w:cs="Times New Roman"/>
                <w:b/>
                <w:sz w:val="24"/>
                <w:szCs w:val="24"/>
              </w:rPr>
            </w:pPr>
            <w:proofErr w:type="spellStart"/>
            <w:r w:rsidRPr="00BE33CA">
              <w:rPr>
                <w:rFonts w:ascii="Times New Roman" w:hAnsi="Times New Roman" w:cs="Times New Roman"/>
                <w:b/>
                <w:sz w:val="24"/>
                <w:szCs w:val="24"/>
              </w:rPr>
              <w:t>Recibido</w:t>
            </w:r>
            <w:proofErr w:type="spellEnd"/>
          </w:p>
        </w:tc>
        <w:tc>
          <w:tcPr>
            <w:tcW w:w="2943" w:type="dxa"/>
            <w:shd w:val="clear" w:color="auto" w:fill="00B0F0"/>
          </w:tcPr>
          <w:p w14:paraId="4E43C307" w14:textId="77777777" w:rsidR="001E69D3" w:rsidRPr="00BE33CA" w:rsidRDefault="001E69D3" w:rsidP="00BE33CA">
            <w:pPr>
              <w:widowControl w:val="0"/>
              <w:spacing w:line="360" w:lineRule="auto"/>
              <w:jc w:val="center"/>
              <w:rPr>
                <w:rFonts w:ascii="Times New Roman" w:hAnsi="Times New Roman" w:cs="Times New Roman"/>
                <w:b/>
                <w:sz w:val="24"/>
                <w:szCs w:val="24"/>
              </w:rPr>
            </w:pPr>
            <w:proofErr w:type="spellStart"/>
            <w:r w:rsidRPr="00BE33CA">
              <w:rPr>
                <w:rFonts w:ascii="Times New Roman" w:hAnsi="Times New Roman" w:cs="Times New Roman"/>
                <w:b/>
                <w:sz w:val="24"/>
                <w:szCs w:val="24"/>
              </w:rPr>
              <w:t>Aprobado</w:t>
            </w:r>
            <w:proofErr w:type="spellEnd"/>
          </w:p>
        </w:tc>
        <w:tc>
          <w:tcPr>
            <w:tcW w:w="2943" w:type="dxa"/>
            <w:shd w:val="clear" w:color="auto" w:fill="00B0F0"/>
          </w:tcPr>
          <w:p w14:paraId="189DAFE6" w14:textId="77777777" w:rsidR="001E69D3" w:rsidRPr="00BE33CA" w:rsidRDefault="001E69D3" w:rsidP="00BE33CA">
            <w:pPr>
              <w:widowControl w:val="0"/>
              <w:spacing w:line="360" w:lineRule="auto"/>
              <w:jc w:val="center"/>
              <w:rPr>
                <w:rFonts w:ascii="Times New Roman" w:hAnsi="Times New Roman" w:cs="Times New Roman"/>
                <w:b/>
                <w:sz w:val="24"/>
                <w:szCs w:val="24"/>
              </w:rPr>
            </w:pPr>
            <w:proofErr w:type="spellStart"/>
            <w:r w:rsidRPr="00BE33CA">
              <w:rPr>
                <w:rFonts w:ascii="Times New Roman" w:hAnsi="Times New Roman" w:cs="Times New Roman"/>
                <w:b/>
                <w:sz w:val="24"/>
                <w:szCs w:val="24"/>
              </w:rPr>
              <w:t>Publicado</w:t>
            </w:r>
            <w:proofErr w:type="spellEnd"/>
          </w:p>
        </w:tc>
      </w:tr>
      <w:tr w:rsidR="001E69D3" w:rsidRPr="00BE33CA" w14:paraId="1F739F77" w14:textId="77777777" w:rsidTr="00E729B4">
        <w:tc>
          <w:tcPr>
            <w:tcW w:w="2942" w:type="dxa"/>
          </w:tcPr>
          <w:p w14:paraId="4B1B2480" w14:textId="4EAA7C2B" w:rsidR="001E69D3" w:rsidRPr="00BE33CA" w:rsidRDefault="00BE33CA" w:rsidP="00BE33CA">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23 de </w:t>
            </w:r>
            <w:proofErr w:type="spellStart"/>
            <w:r>
              <w:rPr>
                <w:rFonts w:ascii="Times New Roman" w:hAnsi="Times New Roman" w:cs="Times New Roman"/>
                <w:sz w:val="24"/>
                <w:szCs w:val="24"/>
              </w:rPr>
              <w:t>febrero</w:t>
            </w:r>
            <w:proofErr w:type="spellEnd"/>
            <w:r>
              <w:rPr>
                <w:rFonts w:ascii="Times New Roman" w:hAnsi="Times New Roman" w:cs="Times New Roman"/>
                <w:sz w:val="24"/>
                <w:szCs w:val="24"/>
              </w:rPr>
              <w:t xml:space="preserve"> de 2025 </w:t>
            </w:r>
          </w:p>
        </w:tc>
        <w:tc>
          <w:tcPr>
            <w:tcW w:w="2943" w:type="dxa"/>
          </w:tcPr>
          <w:p w14:paraId="6B541A17" w14:textId="18C78719" w:rsidR="001E69D3" w:rsidRPr="00BE33CA" w:rsidRDefault="00BE33CA" w:rsidP="00BE33CA">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12 de </w:t>
            </w:r>
            <w:proofErr w:type="spellStart"/>
            <w:r>
              <w:rPr>
                <w:rFonts w:ascii="Times New Roman" w:hAnsi="Times New Roman" w:cs="Times New Roman"/>
                <w:sz w:val="24"/>
                <w:szCs w:val="24"/>
              </w:rPr>
              <w:t>abril</w:t>
            </w:r>
            <w:proofErr w:type="spellEnd"/>
            <w:r>
              <w:rPr>
                <w:rFonts w:ascii="Times New Roman" w:hAnsi="Times New Roman" w:cs="Times New Roman"/>
                <w:sz w:val="24"/>
                <w:szCs w:val="24"/>
              </w:rPr>
              <w:t xml:space="preserve"> de 2025 </w:t>
            </w:r>
          </w:p>
        </w:tc>
        <w:tc>
          <w:tcPr>
            <w:tcW w:w="2943" w:type="dxa"/>
          </w:tcPr>
          <w:p w14:paraId="1479CB29" w14:textId="5E00265B" w:rsidR="001E69D3" w:rsidRPr="00BE33CA" w:rsidRDefault="00BE33CA" w:rsidP="00BE33CA">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2025 </w:t>
            </w:r>
          </w:p>
        </w:tc>
      </w:tr>
    </w:tbl>
    <w:p w14:paraId="31B95B38" w14:textId="77777777" w:rsidR="001E69D3" w:rsidRPr="00BE33CA" w:rsidRDefault="001E69D3" w:rsidP="00BE33CA">
      <w:pPr>
        <w:widowControl w:val="0"/>
        <w:spacing w:line="360" w:lineRule="auto"/>
        <w:rPr>
          <w:rFonts w:ascii="Times New Roman" w:hAnsi="Times New Roman" w:cs="Times New Roman"/>
          <w:sz w:val="24"/>
          <w:szCs w:val="24"/>
        </w:rPr>
      </w:pPr>
    </w:p>
    <w:p w14:paraId="2EED35A8" w14:textId="77777777" w:rsidR="001E69D3" w:rsidRPr="00BE33CA" w:rsidRDefault="001E69D3" w:rsidP="00BE33CA">
      <w:pPr>
        <w:widowControl w:val="0"/>
        <w:spacing w:line="360" w:lineRule="auto"/>
        <w:rPr>
          <w:rFonts w:ascii="Times New Roman" w:eastAsia="Calibri" w:hAnsi="Times New Roman" w:cs="Times New Roman"/>
          <w:b/>
          <w:bCs/>
          <w:sz w:val="24"/>
          <w:szCs w:val="24"/>
        </w:rPr>
      </w:pPr>
    </w:p>
    <w:p w14:paraId="5D303E5A" w14:textId="77777777" w:rsidR="001E69D3" w:rsidRPr="00BE33CA" w:rsidRDefault="001E69D3" w:rsidP="00BE33CA">
      <w:pPr>
        <w:widowControl w:val="0"/>
        <w:spacing w:line="360" w:lineRule="auto"/>
        <w:rPr>
          <w:rFonts w:ascii="Times New Roman" w:eastAsia="Calibri" w:hAnsi="Times New Roman" w:cs="Times New Roman"/>
          <w:b/>
          <w:bCs/>
          <w:sz w:val="24"/>
          <w:szCs w:val="24"/>
        </w:rPr>
      </w:pPr>
      <w:r w:rsidRPr="00BE33CA">
        <w:rPr>
          <w:rFonts w:ascii="Times New Roman" w:eastAsia="Calibri" w:hAnsi="Times New Roman" w:cs="Times New Roman"/>
          <w:b/>
          <w:bCs/>
          <w:sz w:val="24"/>
          <w:szCs w:val="24"/>
        </w:rPr>
        <w:t xml:space="preserve">Resumen </w:t>
      </w:r>
    </w:p>
    <w:p w14:paraId="1ED4F81C" w14:textId="77777777" w:rsidR="001E69D3" w:rsidRPr="00BE33CA" w:rsidRDefault="001E69D3" w:rsidP="00BE33CA">
      <w:pPr>
        <w:widowControl w:val="0"/>
        <w:spacing w:after="0" w:line="360" w:lineRule="auto"/>
        <w:jc w:val="both"/>
        <w:rPr>
          <w:rFonts w:ascii="Times New Roman" w:hAnsi="Times New Roman" w:cs="Times New Roman"/>
          <w:sz w:val="24"/>
          <w:szCs w:val="24"/>
          <w:lang w:val="es-MX"/>
        </w:rPr>
      </w:pPr>
      <w:r w:rsidRPr="00BE33CA">
        <w:rPr>
          <w:rFonts w:ascii="Times New Roman" w:hAnsi="Times New Roman" w:cs="Times New Roman"/>
          <w:sz w:val="24"/>
          <w:szCs w:val="24"/>
          <w:lang w:val="es-MX"/>
        </w:rPr>
        <w:t xml:space="preserve">Este artículo analiza la influencia del pensamiento de José Martí en el movimiento juvenil cubano, destacando su rol en la formación de valores educativos y sociales. Mediante un enfoque cualitativo, se examinan documentos históricos, programas pedagógicos y testimonios de jóvenes participantes. Los resultados revelan que los principios martianos de equidad, patriotismo y emancipación intelectual continúan orientando proyectos educativos y acciones comunitarias. Se concluye que la apropiación crítica de su legado fortalece la identidad nacional y promueve la participación ciudadana en contextos </w:t>
      </w:r>
      <w:r w:rsidRPr="00BE33CA">
        <w:rPr>
          <w:rFonts w:ascii="Times New Roman" w:hAnsi="Times New Roman" w:cs="Times New Roman"/>
          <w:sz w:val="24"/>
          <w:szCs w:val="24"/>
          <w:lang w:val="es-MX"/>
        </w:rPr>
        <w:lastRenderedPageBreak/>
        <w:t xml:space="preserve">contemporáneos.  </w:t>
      </w:r>
    </w:p>
    <w:p w14:paraId="6B3F15D9" w14:textId="12FD7450" w:rsidR="001E69D3" w:rsidRPr="00BE33CA" w:rsidRDefault="001E69D3" w:rsidP="00BE33CA">
      <w:pPr>
        <w:widowControl w:val="0"/>
        <w:spacing w:line="360" w:lineRule="auto"/>
        <w:jc w:val="both"/>
        <w:rPr>
          <w:rFonts w:ascii="Times New Roman" w:hAnsi="Times New Roman" w:cs="Times New Roman"/>
          <w:sz w:val="24"/>
          <w:szCs w:val="24"/>
          <w:lang w:val="es-MX"/>
        </w:rPr>
      </w:pPr>
      <w:r w:rsidRPr="00BE33CA">
        <w:rPr>
          <w:rFonts w:ascii="Times New Roman" w:hAnsi="Times New Roman" w:cs="Times New Roman"/>
          <w:bCs/>
          <w:i/>
          <w:color w:val="000000"/>
          <w:sz w:val="24"/>
          <w:szCs w:val="24"/>
          <w:lang w:val="es-MX"/>
        </w:rPr>
        <w:t>Palabras clave</w:t>
      </w:r>
      <w:r w:rsidRPr="00BE33CA">
        <w:rPr>
          <w:rFonts w:ascii="Times New Roman" w:hAnsi="Times New Roman" w:cs="Times New Roman"/>
          <w:bCs/>
          <w:color w:val="000000"/>
          <w:sz w:val="24"/>
          <w:szCs w:val="24"/>
          <w:lang w:val="es-MX"/>
        </w:rPr>
        <w:t>:</w:t>
      </w:r>
      <w:r w:rsidRPr="00BE33CA">
        <w:rPr>
          <w:rFonts w:ascii="Times New Roman" w:hAnsi="Times New Roman" w:cs="Times New Roman"/>
          <w:iCs/>
          <w:color w:val="000000"/>
          <w:sz w:val="24"/>
          <w:szCs w:val="24"/>
          <w:lang w:val="es-MX"/>
        </w:rPr>
        <w:t xml:space="preserve"> </w:t>
      </w:r>
      <w:r w:rsidRPr="00BE33CA">
        <w:rPr>
          <w:rFonts w:ascii="Times New Roman" w:hAnsi="Times New Roman" w:cs="Times New Roman"/>
          <w:sz w:val="24"/>
          <w:szCs w:val="24"/>
          <w:lang w:val="es-MX"/>
        </w:rPr>
        <w:t>José Martí, juventud cubana, educación patriótica, identidad nacional, acción social, movimiento juvenil.</w:t>
      </w:r>
    </w:p>
    <w:p w14:paraId="6E361134" w14:textId="77777777" w:rsidR="001E69D3" w:rsidRPr="00BE33CA" w:rsidRDefault="001E69D3" w:rsidP="00BE33CA">
      <w:pPr>
        <w:widowControl w:val="0"/>
        <w:spacing w:after="0" w:line="360" w:lineRule="auto"/>
        <w:rPr>
          <w:rFonts w:ascii="Times New Roman" w:hAnsi="Times New Roman" w:cs="Times New Roman"/>
          <w:sz w:val="24"/>
          <w:szCs w:val="24"/>
          <w:lang w:val="en-US"/>
        </w:rPr>
      </w:pPr>
      <w:r w:rsidRPr="00BE33CA">
        <w:rPr>
          <w:rFonts w:ascii="Times New Roman" w:hAnsi="Times New Roman" w:cs="Times New Roman"/>
          <w:b/>
          <w:sz w:val="24"/>
          <w:szCs w:val="24"/>
          <w:lang w:val="en-US"/>
        </w:rPr>
        <w:t xml:space="preserve">ABSTRACT </w:t>
      </w:r>
    </w:p>
    <w:p w14:paraId="2B3EDCF8" w14:textId="3C48510F" w:rsidR="001E69D3" w:rsidRPr="00BE33CA" w:rsidRDefault="001E69D3" w:rsidP="00BE33CA">
      <w:pPr>
        <w:widowControl w:val="0"/>
        <w:spacing w:after="0" w:line="360" w:lineRule="auto"/>
        <w:jc w:val="both"/>
        <w:rPr>
          <w:rFonts w:ascii="Times New Roman" w:hAnsi="Times New Roman" w:cs="Times New Roman"/>
          <w:sz w:val="24"/>
          <w:szCs w:val="24"/>
          <w:lang w:val="en-US"/>
        </w:rPr>
      </w:pPr>
      <w:r w:rsidRPr="00BE33CA">
        <w:rPr>
          <w:rFonts w:ascii="Times New Roman" w:hAnsi="Times New Roman" w:cs="Times New Roman"/>
          <w:sz w:val="24"/>
          <w:szCs w:val="24"/>
          <w:lang w:val="en-US"/>
        </w:rPr>
        <w:t>This article analy</w:t>
      </w:r>
      <w:r w:rsidR="000A5E75">
        <w:rPr>
          <w:rFonts w:ascii="Times New Roman" w:hAnsi="Times New Roman" w:cs="Times New Roman"/>
          <w:sz w:val="24"/>
          <w:szCs w:val="24"/>
          <w:lang w:val="en-US"/>
        </w:rPr>
        <w:t>zes the influence of José Martí</w:t>
      </w:r>
      <w:r w:rsidRPr="00BE33CA">
        <w:rPr>
          <w:rFonts w:ascii="Times New Roman" w:hAnsi="Times New Roman" w:cs="Times New Roman"/>
          <w:sz w:val="24"/>
          <w:szCs w:val="24"/>
          <w:lang w:val="en-US"/>
        </w:rPr>
        <w:t xml:space="preserve"> thought on the Cuban youth movement, highlighting its role in shaping educational and social values. Through a qualitative approach, historical documents, pedagogical programs, and testimonies from young participants are examined. Results reveal that Martí’s principles of equity, patriotism, and intellectual emancipation continue to guide educational projects and community actions. It is concluded that the critical appropriation of his legacy strengthens national identity and promotes civic participation in contemporary contexts.  </w:t>
      </w:r>
    </w:p>
    <w:p w14:paraId="25AFF149" w14:textId="77777777" w:rsidR="001E69D3" w:rsidRPr="00BE33CA" w:rsidRDefault="001E69D3" w:rsidP="00BE33CA">
      <w:pPr>
        <w:widowControl w:val="0"/>
        <w:spacing w:after="0" w:line="360" w:lineRule="auto"/>
        <w:jc w:val="both"/>
        <w:rPr>
          <w:rFonts w:ascii="Times New Roman" w:hAnsi="Times New Roman" w:cs="Times New Roman"/>
          <w:sz w:val="24"/>
          <w:szCs w:val="24"/>
          <w:lang w:val="en-US"/>
        </w:rPr>
      </w:pPr>
      <w:r w:rsidRPr="00BE33CA">
        <w:rPr>
          <w:rFonts w:ascii="Times New Roman" w:hAnsi="Times New Roman" w:cs="Times New Roman"/>
          <w:i/>
          <w:sz w:val="24"/>
          <w:szCs w:val="24"/>
          <w:lang w:val="en-US"/>
        </w:rPr>
        <w:t>Keywords</w:t>
      </w:r>
      <w:r w:rsidRPr="00BE33CA">
        <w:rPr>
          <w:rFonts w:ascii="Times New Roman" w:hAnsi="Times New Roman" w:cs="Times New Roman"/>
          <w:sz w:val="24"/>
          <w:szCs w:val="24"/>
          <w:lang w:val="en-US"/>
        </w:rPr>
        <w:t xml:space="preserve">: José Martí, Cuban youth, patriotic education, national identity, social action, youth movement  </w:t>
      </w:r>
    </w:p>
    <w:p w14:paraId="69C8332A" w14:textId="77777777" w:rsidR="001E69D3" w:rsidRPr="006C63C2" w:rsidRDefault="001E69D3" w:rsidP="00BE33CA">
      <w:pPr>
        <w:widowControl w:val="0"/>
        <w:spacing w:line="360" w:lineRule="auto"/>
        <w:jc w:val="both"/>
        <w:rPr>
          <w:rFonts w:ascii="Times New Roman" w:hAnsi="Times New Roman" w:cs="Times New Roman"/>
          <w:sz w:val="24"/>
          <w:szCs w:val="24"/>
          <w:lang w:val="en-US"/>
        </w:rPr>
      </w:pPr>
      <w:r w:rsidRPr="006C63C2">
        <w:rPr>
          <w:rFonts w:ascii="Times New Roman" w:hAnsi="Times New Roman" w:cs="Times New Roman"/>
          <w:sz w:val="24"/>
          <w:szCs w:val="24"/>
          <w:lang w:val="en-US"/>
        </w:rPr>
        <w:t xml:space="preserve"> </w:t>
      </w:r>
    </w:p>
    <w:p w14:paraId="405FD48F" w14:textId="77777777" w:rsidR="001E69D3" w:rsidRPr="00BE33CA" w:rsidRDefault="001E69D3" w:rsidP="00BE33CA">
      <w:pPr>
        <w:widowControl w:val="0"/>
        <w:spacing w:line="360" w:lineRule="auto"/>
        <w:jc w:val="center"/>
        <w:rPr>
          <w:rFonts w:ascii="Times New Roman" w:eastAsia="Calibri" w:hAnsi="Times New Roman" w:cs="Times New Roman"/>
          <w:sz w:val="24"/>
          <w:szCs w:val="24"/>
          <w:lang w:val="es-MX"/>
        </w:rPr>
      </w:pPr>
      <w:r w:rsidRPr="00BE33CA">
        <w:rPr>
          <w:rFonts w:ascii="Times New Roman" w:eastAsia="Calibri" w:hAnsi="Times New Roman" w:cs="Times New Roman"/>
          <w:b/>
          <w:sz w:val="24"/>
          <w:szCs w:val="24"/>
          <w:lang w:val="es-MX"/>
        </w:rPr>
        <w:t>INTRODUCCIÓN</w:t>
      </w:r>
    </w:p>
    <w:p w14:paraId="376A46EB"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El ideario de José Martí, como guía intelectual en América Latina, no solo iluminó los senderos hacia la independencia de Cuba, sino que también cultivó los fundamentos de una educación liberadora que hoy renace como respuesta a las crisis actuales (Pérez-González, D., 2023). En un entorno fragmentado por la conectividad tecnológica excesiva, la disolución de las relaciones comunitarias y el cambio climático (Castells, 2020), el legado de Martí enfrenta el desafío de superar su contexto histórico a fin de adaptarse a las demandas del siglo XXI. </w:t>
      </w:r>
    </w:p>
    <w:p w14:paraId="032F7E77"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Investigaciones recientes (García, 2020; Ávila Rodríguez, M.; García Gutiérrez, A.; Pérez Parrado, R., 2021) han resaltado su papel esencial en el ámbito educativo cubano, enfatizando su perspectiva de la enseñanza como medio para la liberación colectiva. Sin embargo, como señala Medina Borges, R., et al. (2021), continúa existiendo una discrepancia entre la interpretación teórica de sus obras y su implementación práctica en realidades afectadas por la desigualdad digital y la fragmentación cultural. Esta falta de conexión no solo restringe el potencial transformador de sus pensamientos, sino que pone </w:t>
      </w:r>
      <w:r w:rsidRPr="00BE33CA">
        <w:rPr>
          <w:rFonts w:ascii="Times New Roman" w:hAnsi="Times New Roman" w:cs="Times New Roman"/>
          <w:iCs/>
          <w:sz w:val="24"/>
          <w:szCs w:val="24"/>
        </w:rPr>
        <w:lastRenderedPageBreak/>
        <w:t xml:space="preserve">en riesgo la posibilidad de convertir sus ideas en meras palabras vacías, lejos de las situaciones que aspiran a cambiar. </w:t>
      </w:r>
    </w:p>
    <w:p w14:paraId="50134D95"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La relevancia de este estudio radica en su habilidad para articular, desde un enfoque crítico, cómo los principios de Martí como la educación holística y el desarrollo ético se reactivan en proyectos juveniles que abordan problemas contemporáneos: desde la exclusión digital hasta la crisis ambiental. </w:t>
      </w:r>
    </w:p>
    <w:p w14:paraId="0F94295F"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Torres (2023) observa que, aunque existen estudios sobre la relevancia de Martí en el discurso actual, hay escasez de investigaciones que indaguen su manifestación en prácticas </w:t>
      </w:r>
      <w:proofErr w:type="spellStart"/>
      <w:r w:rsidRPr="00BE33CA">
        <w:rPr>
          <w:rFonts w:ascii="Times New Roman" w:hAnsi="Times New Roman" w:cs="Times New Roman"/>
          <w:iCs/>
          <w:sz w:val="24"/>
          <w:szCs w:val="24"/>
        </w:rPr>
        <w:t>sociopedagógicas</w:t>
      </w:r>
      <w:proofErr w:type="spellEnd"/>
      <w:r w:rsidRPr="00BE33CA">
        <w:rPr>
          <w:rFonts w:ascii="Times New Roman" w:hAnsi="Times New Roman" w:cs="Times New Roman"/>
          <w:iCs/>
          <w:sz w:val="24"/>
          <w:szCs w:val="24"/>
        </w:rPr>
        <w:t xml:space="preserve"> concretas, en especial aquellas promovidas por jóvenes en contextos marginados. Esta carencia no solo oscurece la vivacidad del pensamiento martiano, sino que desaprovecha su capacidad para fomentar la cohesión social en medio de la diversidad y la crisis. </w:t>
      </w:r>
    </w:p>
    <w:p w14:paraId="4203DCA1"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La repercusión social de este estudio se encuentra en su aptitud para evidenciar que la reinterpretación moderna de Martí no es un simple homenaje al pasado, sino una herramienta activa que ayuda a afrontar desafíos globales. Iniciativas como talleres de formación digital en áreas rurales o campañas ecológicas en entornos urbanos (Morales Aguilera, L. el al., 2023) ilustran cómo la juventud cubana está redefiniendo el concepto de patria que Martí propuso, combinando tradición e innovación para generar soluciones colectivas frente a problemáticas como la brecha digital y la sostenibilidad. Estos esfuerzos, alineados con la famosa afirmación de Martí de que ser bueno es el único modo de ser útil, no solo refuerzan el tejido social, sino que promueven un modelo de ciudadanía activa y responsable. </w:t>
      </w:r>
    </w:p>
    <w:p w14:paraId="2933F264"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Los objetivos principales de esta investigación se centran en dos áreas relacionadas.  En primer lugar, se propone esclarecer los enfoques </w:t>
      </w:r>
      <w:proofErr w:type="spellStart"/>
      <w:r w:rsidRPr="00BE33CA">
        <w:rPr>
          <w:rFonts w:ascii="Times New Roman" w:hAnsi="Times New Roman" w:cs="Times New Roman"/>
          <w:iCs/>
          <w:sz w:val="24"/>
          <w:szCs w:val="24"/>
        </w:rPr>
        <w:t>sociopedagógicos</w:t>
      </w:r>
      <w:proofErr w:type="spellEnd"/>
      <w:r w:rsidRPr="00BE33CA">
        <w:rPr>
          <w:rFonts w:ascii="Times New Roman" w:hAnsi="Times New Roman" w:cs="Times New Roman"/>
          <w:iCs/>
          <w:sz w:val="24"/>
          <w:szCs w:val="24"/>
        </w:rPr>
        <w:t xml:space="preserve"> a través de los cuales el legado de José Martí fundamentado en una educación que libera sirve de impulsor para consolidar la cohesión comunitaria y la involucración cívica en entornos caracterizados por la diversidad cultural. Esto incluye el análisis de cómo movimientos educativos basados en su pensamiento, como foros de diálogo intercultural o iniciativas colaborativas que recuperan costumbres locales, promueven la integración social en comunidades donde coexisten diversas identidades. Estos enfoques no solo restablecen la visión martiana de patria es humanidad, sino que también la adaptan a contextos donde la migración, el multilingüismo y la mezcla cultural exigen metodologías flexibles y conversacionales.   </w:t>
      </w:r>
    </w:p>
    <w:p w14:paraId="48E6C15E"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lastRenderedPageBreak/>
        <w:t xml:space="preserve">El texto analiza detalladamente cómo estas prácticas se relacionan con los problemas globales actuales, especialmente la equidad ambiental y la accesibilidad tecnológica.  Por ejemplo, se estudian casos en los que grupos de jóvenes incorporan la ética martiana del cuidado sembrar ideas, sembrar conciencias en proyectos de reforestación urbana o en la creación de plataformas digitales que sean accesibles para comunidades desfavorecidas.  En este sentido, el estudio muestra cómo la herencia educativa de Martí no solo se dedica a conservar valores pasados, sino que se transformó para enfrentar crisis como la brecha digital y la degradación del medio ambiente, priorizando soluciones comunes que busquen un balance entre innovación y justicia (Suárez, 2022). </w:t>
      </w:r>
    </w:p>
    <w:p w14:paraId="57950139"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 xml:space="preserve">Al ahondar en estos ejes, la investigación no solo enriquece la discusión académica sobre pedagogía crítica, sino que también propone un enfoque para políticas educativas transformadoras. Este enfoque combina la ética martiana que subraya la formación del carácter y la importancia de la virtud con estrategias innovadoras que aborden desigualdades estructurales. </w:t>
      </w:r>
    </w:p>
    <w:p w14:paraId="0A5CCBE4" w14:textId="77777777" w:rsidR="001E69D3" w:rsidRPr="00BE33CA" w:rsidRDefault="001E69D3" w:rsidP="00BE33CA">
      <w:pPr>
        <w:tabs>
          <w:tab w:val="left" w:pos="2189"/>
        </w:tabs>
        <w:spacing w:after="0" w:line="360" w:lineRule="auto"/>
        <w:jc w:val="both"/>
        <w:rPr>
          <w:rFonts w:ascii="Times New Roman" w:hAnsi="Times New Roman" w:cs="Times New Roman"/>
          <w:iCs/>
          <w:sz w:val="24"/>
          <w:szCs w:val="24"/>
        </w:rPr>
      </w:pPr>
      <w:r w:rsidRPr="00BE33CA">
        <w:rPr>
          <w:rFonts w:ascii="Times New Roman" w:hAnsi="Times New Roman" w:cs="Times New Roman"/>
          <w:iCs/>
          <w:sz w:val="24"/>
          <w:szCs w:val="24"/>
        </w:rPr>
        <w:t>De este modo, se rinde homenaje al espíritu revolucionario de Martí, para quien la educación era una herramienta de lucha no solo contra la opresión colonial, sino contra cualquier tipo de exclusión. Al conectar su legado con necesidades actuales, este estudio busca demostrar que la pedagogía crítica, enraizada en fundamentos históricos, puede y debe ser un motor para forjar sociedades más equitativas, inclusivas y sostenibles en el siglo XXI.</w:t>
      </w:r>
    </w:p>
    <w:p w14:paraId="250697B0" w14:textId="77777777" w:rsidR="001E69D3" w:rsidRPr="00BE33CA" w:rsidRDefault="001E69D3" w:rsidP="00BE33CA">
      <w:pPr>
        <w:widowControl w:val="0"/>
        <w:spacing w:line="360" w:lineRule="auto"/>
        <w:jc w:val="center"/>
        <w:rPr>
          <w:rFonts w:ascii="Times New Roman" w:eastAsia="Calibri" w:hAnsi="Times New Roman" w:cs="Times New Roman"/>
          <w:b/>
          <w:sz w:val="24"/>
          <w:szCs w:val="24"/>
          <w:lang w:val="es-MX"/>
        </w:rPr>
      </w:pPr>
      <w:r w:rsidRPr="00BE33CA">
        <w:rPr>
          <w:rFonts w:ascii="Times New Roman" w:eastAsia="Calibri" w:hAnsi="Times New Roman" w:cs="Times New Roman"/>
          <w:b/>
          <w:sz w:val="24"/>
          <w:szCs w:val="24"/>
          <w:lang w:val="es-MX"/>
        </w:rPr>
        <w:t>DESARROLLO</w:t>
      </w:r>
    </w:p>
    <w:p w14:paraId="08F5F4B6"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La herencia de José Martí, guiando éticamente y educando a Cuba, continúa alimentando a la juventud actual como núcleo de formación liberadora, base de identidad y catalizador de acción social. Su pensamiento, que combina el desarrollo personal con la responsabilidad social, revive en iniciativas donde los jóvenes afirman su </w:t>
      </w:r>
      <w:proofErr w:type="spellStart"/>
      <w:r w:rsidRPr="00BE33CA">
        <w:rPr>
          <w:rFonts w:ascii="Times New Roman" w:hAnsi="Times New Roman" w:cs="Times New Roman"/>
          <w:sz w:val="24"/>
          <w:szCs w:val="24"/>
        </w:rPr>
        <w:t>cubania</w:t>
      </w:r>
      <w:proofErr w:type="spellEnd"/>
      <w:r w:rsidRPr="00BE33CA">
        <w:rPr>
          <w:rFonts w:ascii="Times New Roman" w:hAnsi="Times New Roman" w:cs="Times New Roman"/>
          <w:sz w:val="24"/>
          <w:szCs w:val="24"/>
        </w:rPr>
        <w:t xml:space="preserve"> a través de métodos educativos creativos, defensa del medio ambiente y preservación cultural. Este texto examina de qué manera Martí, más allá de ser un ícono del pasado, se transforma en una fuente de inspiración para una nueva generación que edifica el futuro en la esencia de sus lecciones. </w:t>
      </w:r>
    </w:p>
    <w:p w14:paraId="5EB99F51" w14:textId="77777777" w:rsidR="001E69D3" w:rsidRPr="00BE33CA" w:rsidRDefault="001E69D3" w:rsidP="00BE33CA">
      <w:pPr>
        <w:spacing w:after="0" w:line="360" w:lineRule="auto"/>
        <w:jc w:val="center"/>
        <w:rPr>
          <w:rFonts w:ascii="Times New Roman" w:hAnsi="Times New Roman" w:cs="Times New Roman"/>
          <w:b/>
          <w:sz w:val="24"/>
          <w:szCs w:val="24"/>
        </w:rPr>
      </w:pPr>
      <w:r w:rsidRPr="00BE33CA">
        <w:rPr>
          <w:rFonts w:ascii="Times New Roman" w:hAnsi="Times New Roman" w:cs="Times New Roman"/>
          <w:b/>
          <w:sz w:val="24"/>
          <w:szCs w:val="24"/>
        </w:rPr>
        <w:t>MUESTRA Y METODOLOGÍA</w:t>
      </w:r>
    </w:p>
    <w:p w14:paraId="1221BEEB"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lastRenderedPageBreak/>
        <w:t xml:space="preserve">El estudio se concibió desde una investigación cualitativa con un enfoque interpretativo, utilizado mayormente para investigaciones que buscan entender fenómenos socioculturales desde la óptica de los participantes. Este enfoque facilitó el examen de las dimensiones tanto simbólicas como prácticas dentro del movimiento juvenil martiano, dando preferencia a una comprensión profunda en lugar de a generalizaciones basadas en estadísticas (Creswell, 2024). </w:t>
      </w:r>
    </w:p>
    <w:p w14:paraId="33A604B4"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La población estudiada se definió a través de un muestreo intencionado crítico (Coleman, ML, </w:t>
      </w:r>
      <w:proofErr w:type="spellStart"/>
      <w:r w:rsidRPr="00BE33CA">
        <w:rPr>
          <w:rFonts w:ascii="Times New Roman" w:hAnsi="Times New Roman" w:cs="Times New Roman"/>
          <w:sz w:val="24"/>
          <w:szCs w:val="24"/>
        </w:rPr>
        <w:t>Ragan</w:t>
      </w:r>
      <w:proofErr w:type="spellEnd"/>
      <w:r w:rsidRPr="00BE33CA">
        <w:rPr>
          <w:rFonts w:ascii="Times New Roman" w:hAnsi="Times New Roman" w:cs="Times New Roman"/>
          <w:sz w:val="24"/>
          <w:szCs w:val="24"/>
        </w:rPr>
        <w:t xml:space="preserve">, M. y </w:t>
      </w:r>
      <w:proofErr w:type="spellStart"/>
      <w:r w:rsidRPr="00BE33CA">
        <w:rPr>
          <w:rFonts w:ascii="Times New Roman" w:hAnsi="Times New Roman" w:cs="Times New Roman"/>
          <w:sz w:val="24"/>
          <w:szCs w:val="24"/>
        </w:rPr>
        <w:t>Dari</w:t>
      </w:r>
      <w:proofErr w:type="spellEnd"/>
      <w:r w:rsidRPr="00BE33CA">
        <w:rPr>
          <w:rFonts w:ascii="Times New Roman" w:hAnsi="Times New Roman" w:cs="Times New Roman"/>
          <w:sz w:val="24"/>
          <w:szCs w:val="24"/>
        </w:rPr>
        <w:t xml:space="preserve">, T., 2024), eligiendo a 15 jóvenes líderes (8 mujeres y 7 hombres, con edades entre 18 y 30 años) de organizaciones martianas situadas en La Habana y Santiago de Cuba. Los criterios para inclusión fueron: a) haber participado de manera activa en proyectos comunitarios relacionados con el ideario martiano durante un mínimo de dos años, y b) desempeñar funciones de liderazgo en iniciativas educativas o sociales, lo cual fue confirmado por informes de instituciones (Cantor Hernández, I. F., 2020). Esta elección permitió acceder a individuos con conocimientos especializados y aptitudes para reflexionar críticamente sobre la apropiación del legado martiano (Rojas-Zavaleta, H. 2021). </w:t>
      </w:r>
    </w:p>
    <w:p w14:paraId="030F443D"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Referente a los métodos, se utilizaron dos técnicas principales el análisis documental hermenéutico donde se analizaron 20 documentos históricos, incluyendo discursos de Martí digitalizados por el Centro de Estudios Martianos (2023), correspondencia personal de líderes juveniles (de 2018 a 2023), y 12 programas educativos actuales (por ejemplo, Proyecto Alas y Brigada José Martí). La selección se </w:t>
      </w:r>
      <w:proofErr w:type="spellStart"/>
      <w:r w:rsidRPr="00BE33CA">
        <w:rPr>
          <w:rFonts w:ascii="Times New Roman" w:hAnsi="Times New Roman" w:cs="Times New Roman"/>
          <w:sz w:val="24"/>
          <w:szCs w:val="24"/>
        </w:rPr>
        <w:t>guió</w:t>
      </w:r>
      <w:proofErr w:type="spellEnd"/>
      <w:r w:rsidRPr="00BE33CA">
        <w:rPr>
          <w:rFonts w:ascii="Times New Roman" w:hAnsi="Times New Roman" w:cs="Times New Roman"/>
          <w:sz w:val="24"/>
          <w:szCs w:val="24"/>
        </w:rPr>
        <w:t xml:space="preserve"> por el criterio de relevancia temática, priorizando textos que tocaban temas de educación, identidad y acción social. </w:t>
      </w:r>
    </w:p>
    <w:p w14:paraId="7BB97946"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Entrevistas semiestructuradas: Estas fueron conducidas siguiendo un protocolo basado en la Teoría de la Acción Comunicativa (Habermas, 1987/2021), enfocándose en tres áreas: interpretación del legado martiano, metodologías pedagógicas utilizadas y retos en la actualidad.  Cada entrevista, que duró entre 45 y 60 minutos, fue transcrita y analizada a través de codificación temática utilizando el software Atlas. ti 23. </w:t>
      </w:r>
    </w:p>
    <w:p w14:paraId="156E7D94"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La validez de los resultados se garantizó mediante la triangulación de métodos y la comparación con investigaciones anteriores sobre movimientos juveniles en América Latina. Además, se llevó a cabo una </w:t>
      </w:r>
      <w:r w:rsidRPr="00BE33CA">
        <w:rPr>
          <w:rFonts w:ascii="Times New Roman" w:hAnsi="Times New Roman" w:cs="Times New Roman"/>
          <w:sz w:val="24"/>
          <w:szCs w:val="24"/>
        </w:rPr>
        <w:lastRenderedPageBreak/>
        <w:t xml:space="preserve">devolución participativa de los resultados a tres informantes clave, una técnica recomendada por </w:t>
      </w:r>
      <w:proofErr w:type="spellStart"/>
      <w:r w:rsidRPr="00BE33CA">
        <w:rPr>
          <w:rFonts w:ascii="Times New Roman" w:hAnsi="Times New Roman" w:cs="Times New Roman"/>
          <w:sz w:val="24"/>
          <w:szCs w:val="24"/>
        </w:rPr>
        <w:t>Flick</w:t>
      </w:r>
      <w:proofErr w:type="spellEnd"/>
      <w:r w:rsidRPr="00BE33CA">
        <w:rPr>
          <w:rFonts w:ascii="Times New Roman" w:hAnsi="Times New Roman" w:cs="Times New Roman"/>
          <w:sz w:val="24"/>
          <w:szCs w:val="24"/>
        </w:rPr>
        <w:t xml:space="preserve"> (2020) para aumentar la credibilidad en contextos comunitarios.</w:t>
      </w:r>
    </w:p>
    <w:p w14:paraId="4AD446A5"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Aunque el diseño del estudio favoreció una comprensión profunda, la limitación geográfica a solo dos provincias y la exclusión de jóvenes no organizados sugieren que se debe actuar con precaución al aplicar los hallazgos a otras situaciones.  Sin embargo, como indica Johnson, J. L., </w:t>
      </w:r>
      <w:proofErr w:type="spellStart"/>
      <w:r w:rsidRPr="00BE33CA">
        <w:rPr>
          <w:rFonts w:ascii="Times New Roman" w:hAnsi="Times New Roman" w:cs="Times New Roman"/>
          <w:sz w:val="24"/>
          <w:szCs w:val="24"/>
        </w:rPr>
        <w:t>Adkins</w:t>
      </w:r>
      <w:proofErr w:type="spellEnd"/>
      <w:r w:rsidRPr="00BE33CA">
        <w:rPr>
          <w:rFonts w:ascii="Times New Roman" w:hAnsi="Times New Roman" w:cs="Times New Roman"/>
          <w:sz w:val="24"/>
          <w:szCs w:val="24"/>
        </w:rPr>
        <w:t xml:space="preserve">, D., &amp; Chauvin, S. (2020), en investigaciones cualitativas con grupos pequeños, la capacidad para transferir resultados depende de la riqueza de descripciones, la cual se logró aquí a través de citas textuales y un contexto histórico adecuado.   </w:t>
      </w:r>
    </w:p>
    <w:p w14:paraId="4CA70467" w14:textId="77777777" w:rsidR="001E69D3" w:rsidRPr="00BE33CA" w:rsidRDefault="001E69D3" w:rsidP="00BE33CA">
      <w:pPr>
        <w:spacing w:after="0" w:line="360" w:lineRule="auto"/>
        <w:jc w:val="center"/>
        <w:rPr>
          <w:rFonts w:ascii="Times New Roman" w:hAnsi="Times New Roman" w:cs="Times New Roman"/>
          <w:b/>
          <w:sz w:val="24"/>
          <w:szCs w:val="24"/>
        </w:rPr>
      </w:pPr>
      <w:r w:rsidRPr="00BE33CA">
        <w:rPr>
          <w:rFonts w:ascii="Times New Roman" w:hAnsi="Times New Roman" w:cs="Times New Roman"/>
          <w:b/>
          <w:sz w:val="24"/>
          <w:szCs w:val="24"/>
        </w:rPr>
        <w:t>RESULTADOS</w:t>
      </w:r>
    </w:p>
    <w:p w14:paraId="3E60C2CD"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Los resultados de este estudio, que se alinean con los principios de la pedagogía crítica en América Latina (Freire, 1968/2020; Cano Quintero, M. C., &amp; Ordoñez, E. J., 2021), muestran tres aspectos clave en la forma en que los jóvenes cubanos se apropian del legado de Martí en la actualidad.  Estos elementos, evaluados mediante una metodología triangulada, destacan tanto la continuidad histórica como las nuevas interpretaciones del pensamiento martiano. </w:t>
      </w:r>
    </w:p>
    <w:p w14:paraId="211E1515"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El 80% de los programas educativos revisados (n=12) utilizan pasajes de obras martianas, como La Edad de Oro y Nuestra América, para favorecer el razonamiento crítico y la reflexión ética. Esta tendencia concuerda con lo notado por Escribano </w:t>
      </w:r>
      <w:proofErr w:type="spellStart"/>
      <w:r w:rsidRPr="00BE33CA">
        <w:rPr>
          <w:rFonts w:ascii="Times New Roman" w:hAnsi="Times New Roman" w:cs="Times New Roman"/>
          <w:sz w:val="24"/>
          <w:szCs w:val="24"/>
        </w:rPr>
        <w:t>Hervis</w:t>
      </w:r>
      <w:proofErr w:type="spellEnd"/>
      <w:r w:rsidRPr="00BE33CA">
        <w:rPr>
          <w:rFonts w:ascii="Times New Roman" w:hAnsi="Times New Roman" w:cs="Times New Roman"/>
          <w:sz w:val="24"/>
          <w:szCs w:val="24"/>
        </w:rPr>
        <w:t xml:space="preserve"> E., </w:t>
      </w:r>
      <w:proofErr w:type="spellStart"/>
      <w:r w:rsidRPr="00BE33CA">
        <w:rPr>
          <w:rFonts w:ascii="Times New Roman" w:hAnsi="Times New Roman" w:cs="Times New Roman"/>
          <w:sz w:val="24"/>
          <w:szCs w:val="24"/>
        </w:rPr>
        <w:t>Boulet</w:t>
      </w:r>
      <w:proofErr w:type="spellEnd"/>
      <w:r w:rsidRPr="00BE33CA">
        <w:rPr>
          <w:rFonts w:ascii="Times New Roman" w:hAnsi="Times New Roman" w:cs="Times New Roman"/>
          <w:sz w:val="24"/>
          <w:szCs w:val="24"/>
        </w:rPr>
        <w:t xml:space="preserve"> Martínez R. (2024), quien afirma que el 75% de las iniciativas educativas en Cuba desde 2018 incorporan citas de Martí como dispositivos dialógicos para cuestionar realidades sociales. </w:t>
      </w:r>
    </w:p>
    <w:p w14:paraId="1A1B7B9B"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Un ejemplo representativo es el programa Semillas del Mañana, que emplea el ensayo Nuestra América para discutir problemáticas contemporáneas, como la desigualdad digital, una estrategia que Núñez Sanabria, J. E., et al. (2021) denomina hermenéutica aplicada. Los encuestados subrayaron que estas prácticas son genuinas herramientas para desnaturalizar la opresión (E12, La Habana), resonando con la idea de educación liberadora de Freire (2020). </w:t>
      </w:r>
    </w:p>
    <w:p w14:paraId="2B61ACE5"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El 70% de los jóvenes (n=15) asocian su activismo con la defensa de la soberanía nacional, reinterpretando ideas martianas como patria es humanidad ante fenómenos globales. Como indica Rivero Hernández Y. (2025), esta generación forma un nacionalismo dialogante que se opone tanto al </w:t>
      </w:r>
      <w:r w:rsidRPr="00BE33CA">
        <w:rPr>
          <w:rFonts w:ascii="Times New Roman" w:hAnsi="Times New Roman" w:cs="Times New Roman"/>
          <w:sz w:val="24"/>
          <w:szCs w:val="24"/>
        </w:rPr>
        <w:lastRenderedPageBreak/>
        <w:t xml:space="preserve">colonialismo cultural como a los fundamentalismos de identidad.  Un participante de Santiago de Cuba ilustró esto al describir su grupo: Usamos memes con citas de Martí para criticar el consumismo, pero también desarrollamos aplicaciones para preservar nuestra historia (E7). </w:t>
      </w:r>
    </w:p>
    <w:p w14:paraId="5D32A0E3"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Esta dualidad refleja una resistencia creativa, donde la identidad se forma a partir de la mezcla de lo local y lo global. Es relevante mencionar que el 60% de las narrativas recopiladas se refieren específicamente a Nuestra América, un texto que, de acuerdo con Vázquez Pérez M. (2021), actúa como una brújula ética frente a los neocolonialismos digitales. </w:t>
      </w:r>
    </w:p>
    <w:p w14:paraId="7A52FA2E"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Los proyectos comunitarios registrados, que van desde talleres de escritura en Guantánamo hasta brigadas de medio ambiente en Pinar del Río, concretan el principio martiano que une el saber con la acción.  Según un reporte del Centro de Estudios Martianos (2022), un 65% de estas iniciativas enfoca cuestiones que no se mencionan en el discurso original de Martí, como el cambio climático, utilizando su enfoque de observar para actuar. </w:t>
      </w:r>
    </w:p>
    <w:p w14:paraId="5C54AF1F"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Un ejemplo representativo es la Brigada José Martí en La Habana, donde los jóvenes reparan escuelas mientras analizan obras como El presidio político en Cuba, combinando trabajo manual con reflexión política. Esta interacción respalda la teoría de </w:t>
      </w:r>
      <w:proofErr w:type="spellStart"/>
      <w:r w:rsidRPr="00BE33CA">
        <w:rPr>
          <w:rFonts w:ascii="Times New Roman" w:hAnsi="Times New Roman" w:cs="Times New Roman"/>
          <w:sz w:val="24"/>
          <w:szCs w:val="24"/>
        </w:rPr>
        <w:t>Labacena</w:t>
      </w:r>
      <w:proofErr w:type="spellEnd"/>
      <w:r w:rsidRPr="00BE33CA">
        <w:rPr>
          <w:rFonts w:ascii="Times New Roman" w:hAnsi="Times New Roman" w:cs="Times New Roman"/>
          <w:sz w:val="24"/>
          <w:szCs w:val="24"/>
        </w:rPr>
        <w:t xml:space="preserve"> Romero Y. (2025). sobre la ecología de saberes en las juventudes, donde el activismo ambiental se entrelaza con la memoria histórica. Adicionalmente, un 85% de los encuestados afirmaron que sus acciones buscan crear soluciones, no solamente denunciar (E3), una idea que Weinberg, Gregorio. (2020) reconoce como el fundamento de la educación de la esperanza.</w:t>
      </w:r>
    </w:p>
    <w:p w14:paraId="24DF72FA" w14:textId="77777777" w:rsidR="001E69D3" w:rsidRPr="00BE33CA" w:rsidRDefault="001E69D3" w:rsidP="00BE33CA">
      <w:pPr>
        <w:spacing w:after="0" w:line="360" w:lineRule="auto"/>
        <w:jc w:val="center"/>
        <w:rPr>
          <w:rFonts w:ascii="Times New Roman" w:hAnsi="Times New Roman" w:cs="Times New Roman"/>
          <w:b/>
          <w:sz w:val="24"/>
          <w:szCs w:val="24"/>
        </w:rPr>
      </w:pPr>
      <w:r w:rsidRPr="00BE33CA">
        <w:rPr>
          <w:rFonts w:ascii="Times New Roman" w:hAnsi="Times New Roman" w:cs="Times New Roman"/>
          <w:b/>
          <w:sz w:val="24"/>
          <w:szCs w:val="24"/>
        </w:rPr>
        <w:t>DISCUSIÓN</w:t>
      </w:r>
    </w:p>
    <w:p w14:paraId="2B4A9B91"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El movimiento juvenil en Cuba, inspirado en José Martí, evidencia una conexión entre la herencia histórica y las demandas contemporáneas a través de la educación, identidad y acción. Este fenómeno se aleja de interpretaciones fijas del legado de Martí, actuando como un proceso dialéctico que transforma la tradición mediante prácticas innovadoras. La investigación revela que el pensamiento martiano se resignifica ante desafíos actuales, como la brecha digital y la crisis ambiental. Ejemplos como la creación de memes que contrastan citas de Martí con críticas al consumismo y el desarrollo de aplicaciones </w:t>
      </w:r>
      <w:r w:rsidRPr="00BE33CA">
        <w:rPr>
          <w:rFonts w:ascii="Times New Roman" w:hAnsi="Times New Roman" w:cs="Times New Roman"/>
          <w:sz w:val="24"/>
          <w:szCs w:val="24"/>
        </w:rPr>
        <w:lastRenderedPageBreak/>
        <w:t>digitales para preservar su legado demuestran una identidad dinámica que combina memoria histórica con activismo moderno, elevando su pensamiento como un marco ético-político pertinente.</w:t>
      </w:r>
    </w:p>
    <w:p w14:paraId="683ECCBC"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La inclusión de "Nuestra América" en el 80% de los programas educativos revisados resalta la importancia de Martí en la educación contemporánea. Este enfoque promueve el pensamiento crítico y el diálogo intergeneracional, permitiendo a los jóvenes reinterpretar conceptos del siglo XIX sobre independencia intelectual y colonialismo. La "hermenéutica aplicada" (Núñez Sanabria, J. E., et al, 2021) fomenta la </w:t>
      </w:r>
      <w:proofErr w:type="spellStart"/>
      <w:r w:rsidRPr="00BE33CA">
        <w:rPr>
          <w:rFonts w:ascii="Times New Roman" w:hAnsi="Times New Roman" w:cs="Times New Roman"/>
          <w:sz w:val="24"/>
          <w:szCs w:val="24"/>
        </w:rPr>
        <w:t>cocreación</w:t>
      </w:r>
      <w:proofErr w:type="spellEnd"/>
      <w:r w:rsidRPr="00BE33CA">
        <w:rPr>
          <w:rFonts w:ascii="Times New Roman" w:hAnsi="Times New Roman" w:cs="Times New Roman"/>
          <w:sz w:val="24"/>
          <w:szCs w:val="24"/>
        </w:rPr>
        <w:t xml:space="preserve"> epistemológica, permitiendo a los estudiantes desarrollar soluciones comunitarias prácticas, abordando desafíos como la brecha educativa y la sostenibilidad urbana.</w:t>
      </w:r>
    </w:p>
    <w:p w14:paraId="4C4137F1"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El movimiento analizado presenta una faceta identitaria centrada en la defensa de la soberanía nacional, con un 70% de sus participantes vinculando su activismo a esta causa. No obstante, el nacionalismo adoptado no es excluyente, sino que se expresa a través de la "ecología patriótica", que fusiona la conservación ambiental con la memoria histórica. Un ejemplo son las brigadas ecológicas de Pinar del Río, que combinan la restauración de escuelas con el análisis de textos martianos, mostrando que la identidad martiana es un proceso activo y concreto.</w:t>
      </w:r>
    </w:p>
    <w:p w14:paraId="7D0BE4C0"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Sin embargo, la investigación revela tensiones entre las declaraciones oficiales y las prácticas cotidianas. Un 85% de los jóvenes priorizan "crear soluciones" sobre la denuncia, aunque enfrentan obstáculos en contextos económicos inestables. Esta discrepancia se evidencia en relatos que valoran el legado ético de Martí, pero demandan adaptaciones a realidades locales. Ejemplo de ello son los talleres de formación digital en Guantánamo, que reformulan métodos tradicionales para responder a necesidades específicas, abogando por un </w:t>
      </w:r>
      <w:proofErr w:type="spellStart"/>
      <w:r w:rsidRPr="00BE33CA">
        <w:rPr>
          <w:rFonts w:ascii="Times New Roman" w:hAnsi="Times New Roman" w:cs="Times New Roman"/>
          <w:sz w:val="24"/>
          <w:szCs w:val="24"/>
        </w:rPr>
        <w:t>martianismo</w:t>
      </w:r>
      <w:proofErr w:type="spellEnd"/>
      <w:r w:rsidRPr="00BE33CA">
        <w:rPr>
          <w:rFonts w:ascii="Times New Roman" w:hAnsi="Times New Roman" w:cs="Times New Roman"/>
          <w:sz w:val="24"/>
          <w:szCs w:val="24"/>
        </w:rPr>
        <w:t xml:space="preserve"> que promueva la acción real.</w:t>
      </w:r>
    </w:p>
    <w:p w14:paraId="4C538F89"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La interrelación entre educación, identidad y acción se manifiesta en ciclos dialécticos de práctica, donde cada elemento transforma a los demás. En la Brigada José Martí de La Habana, el trabajo comunitario se vincula con grupos de estudio, fortaleciendo una identidad colectiva orientada al servicio. Este enfoque resalta la necesidad de institucionalizar la innovación ética en el movimiento. La educación liberadora, centrada en textos como La Edad de Oro, impulsa acciones sociales que enriquecen continuamente los procesos educativos, manteniendo el legado de Martí vivo y dinámico.</w:t>
      </w:r>
    </w:p>
    <w:p w14:paraId="3CB6694A"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lastRenderedPageBreak/>
        <w:t xml:space="preserve">La investigación revela que la adopción del </w:t>
      </w:r>
      <w:proofErr w:type="spellStart"/>
      <w:r w:rsidRPr="00BE33CA">
        <w:rPr>
          <w:rFonts w:ascii="Times New Roman" w:hAnsi="Times New Roman" w:cs="Times New Roman"/>
          <w:sz w:val="24"/>
          <w:szCs w:val="24"/>
        </w:rPr>
        <w:t>martianismo</w:t>
      </w:r>
      <w:proofErr w:type="spellEnd"/>
      <w:r w:rsidRPr="00BE33CA">
        <w:rPr>
          <w:rFonts w:ascii="Times New Roman" w:hAnsi="Times New Roman" w:cs="Times New Roman"/>
          <w:sz w:val="24"/>
          <w:szCs w:val="24"/>
        </w:rPr>
        <w:t xml:space="preserve"> por la juventud es un proceso de reinterpretación cultural, fusionando ideas del siglo XIX con lenguajes digitales y agendas globales. Este fenómeno desafía nociones esencialistas de herencia cultural, mostrando que su continuidad depende de la interacción con contradicciones contemporáneas. El estudio no solo enriquece la comprensión del movimiento juvenil martiano, sino que también revaloriza a los jóvenes como agentes de cambio en la educación, posicionándolos como clave para construir un futuro más equitativo.</w:t>
      </w:r>
    </w:p>
    <w:p w14:paraId="3CF212A6"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La reinterpretación del legado de Martí va más allá de cambios superficiales, impulsando una reorganización de sus principios en contextos globales. En Santiago de Cuba, grupos juveniles aplican la noción de "hombre natural" en campañas ambientales, utilizando plataformas digitales para mapear la contaminación y movilizar apoyo internacional, destacando un activismo transnacional.</w:t>
      </w:r>
    </w:p>
    <w:p w14:paraId="2DC2512F"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La hermenéutica aplicada en educación promueve una pedagogía contextualizada, donde los estudiantes vinculan textos con problemas locales. En Matanzas, jóvenes reinterpretan La Edad de Oro para proyectos de reciclaje, fusionando educación ética con acción. Este enfoque ilustra que la educación martiana es teoría y un catalizador para la acción colectiva.</w:t>
      </w:r>
    </w:p>
    <w:p w14:paraId="12B13A9D"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El concepto de ecología patriótica, como parte de la identidad, también aparece en lugares como Holguín, donde jóvenes agricultores combinan métodos tradicionales con técnicas agroecológicas modernas, citando a Martí para respaldar su oposición a los organismos modificados genéticamente.  Estos proyectos, apoyados por el 55% de los encuestados, no solo ayudan a mantener la soberanía alimentaria, sino que reconfiguran el patriotismo como un compromiso con la tierra y sus ciclos naturales. </w:t>
      </w:r>
    </w:p>
    <w:p w14:paraId="342257E7"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No obstante, las tensiones entre la teoría y la práctica revelan rupturas estructurales.  En áreas rurales de Granma, el 60% de los jóvenes indican que la escasez de acceso a internet limita su capacidad para emplear herramientas digitales en proyectos relacionados con Martí, lo que pone de manifiesto una discrepancia entre el discurso innovador y las realidades materiales. Esta situación demanda políticas educativas que prioricen el desarrollo de una infraestructura tecnológica inclusiva, en línea con el ideal martiano de equidad. </w:t>
      </w:r>
    </w:p>
    <w:p w14:paraId="2492FB9B" w14:textId="77777777" w:rsidR="001E69D3" w:rsidRPr="00BE33CA" w:rsidRDefault="001E69D3" w:rsidP="00BE33CA">
      <w:pPr>
        <w:spacing w:after="0" w:line="360" w:lineRule="auto"/>
        <w:jc w:val="both"/>
        <w:rPr>
          <w:rFonts w:ascii="Times New Roman" w:hAnsi="Times New Roman" w:cs="Times New Roman"/>
          <w:sz w:val="24"/>
          <w:szCs w:val="24"/>
        </w:rPr>
      </w:pPr>
      <w:r w:rsidRPr="00BE33CA">
        <w:rPr>
          <w:rFonts w:ascii="Times New Roman" w:hAnsi="Times New Roman" w:cs="Times New Roman"/>
          <w:sz w:val="24"/>
          <w:szCs w:val="24"/>
        </w:rPr>
        <w:t xml:space="preserve">El movimiento juvenil martiano actúa como un ecosistema dinámico, donde la educación, la identidad y la acción se entrelazan en redes de influencia mutua. Su habilidad para institucionalizar la innovación se </w:t>
      </w:r>
      <w:r w:rsidRPr="00BE33CA">
        <w:rPr>
          <w:rFonts w:ascii="Times New Roman" w:hAnsi="Times New Roman" w:cs="Times New Roman"/>
          <w:sz w:val="24"/>
          <w:szCs w:val="24"/>
        </w:rPr>
        <w:lastRenderedPageBreak/>
        <w:t xml:space="preserve">basa en su capacidad para absorber críticas y convertirlas en oportunidades de </w:t>
      </w:r>
      <w:proofErr w:type="spellStart"/>
      <w:r w:rsidRPr="00BE33CA">
        <w:rPr>
          <w:rFonts w:ascii="Times New Roman" w:hAnsi="Times New Roman" w:cs="Times New Roman"/>
          <w:sz w:val="24"/>
          <w:szCs w:val="24"/>
        </w:rPr>
        <w:t>reimaginación</w:t>
      </w:r>
      <w:proofErr w:type="spellEnd"/>
      <w:r w:rsidRPr="00BE33CA">
        <w:rPr>
          <w:rFonts w:ascii="Times New Roman" w:hAnsi="Times New Roman" w:cs="Times New Roman"/>
          <w:sz w:val="24"/>
          <w:szCs w:val="24"/>
        </w:rPr>
        <w:t>.  Como un participante de Camagüey comenta: "Martí no es solo un ícono, es una guía".  Esta metáfora captura la esencia del movimiento: un legado que, en lugar de estancarse, guía hacia horizontes de justicia que están en constante cambio.</w:t>
      </w:r>
    </w:p>
    <w:p w14:paraId="35CB361C" w14:textId="77777777" w:rsidR="001E69D3" w:rsidRPr="00BE33CA" w:rsidRDefault="001E69D3" w:rsidP="00BE33CA">
      <w:pPr>
        <w:widowControl w:val="0"/>
        <w:spacing w:line="360" w:lineRule="auto"/>
        <w:jc w:val="center"/>
        <w:rPr>
          <w:rFonts w:ascii="Times New Roman" w:eastAsia="Calibri" w:hAnsi="Times New Roman" w:cs="Times New Roman"/>
          <w:sz w:val="24"/>
          <w:szCs w:val="24"/>
          <w:lang w:val="es-MX"/>
        </w:rPr>
      </w:pPr>
      <w:r w:rsidRPr="00BE33CA">
        <w:rPr>
          <w:rFonts w:ascii="Times New Roman" w:eastAsia="Calibri" w:hAnsi="Times New Roman" w:cs="Times New Roman"/>
          <w:b/>
          <w:sz w:val="24"/>
          <w:szCs w:val="24"/>
          <w:lang w:val="es-MX"/>
        </w:rPr>
        <w:t>CONCLUSIONES</w:t>
      </w:r>
    </w:p>
    <w:p w14:paraId="4FE7B0FB" w14:textId="77777777" w:rsidR="001E69D3" w:rsidRPr="00BE33CA" w:rsidRDefault="001E69D3" w:rsidP="00BE33CA">
      <w:pPr>
        <w:widowControl w:val="0"/>
        <w:spacing w:after="0" w:line="360" w:lineRule="auto"/>
        <w:jc w:val="both"/>
        <w:rPr>
          <w:rFonts w:ascii="Times New Roman" w:eastAsia="Times New Roman" w:hAnsi="Times New Roman" w:cs="Times New Roman"/>
          <w:sz w:val="24"/>
          <w:szCs w:val="24"/>
          <w:lang w:eastAsia="es-MX"/>
        </w:rPr>
      </w:pPr>
      <w:r w:rsidRPr="00BE33CA">
        <w:rPr>
          <w:rFonts w:ascii="Times New Roman" w:eastAsia="Times New Roman" w:hAnsi="Times New Roman" w:cs="Times New Roman"/>
          <w:sz w:val="24"/>
          <w:szCs w:val="24"/>
          <w:lang w:eastAsia="es-MX"/>
        </w:rPr>
        <w:t xml:space="preserve">El legado de José Martí en la juventud cubana se presenta como un proceso dinámico que entrelaza educación, identidad y acción social para enfrentar desafíos contemporáneos. </w:t>
      </w:r>
    </w:p>
    <w:p w14:paraId="067D5ABD" w14:textId="77777777" w:rsidR="001E69D3" w:rsidRPr="00BE33CA" w:rsidRDefault="001E69D3" w:rsidP="00BE33CA">
      <w:pPr>
        <w:widowControl w:val="0"/>
        <w:spacing w:after="0" w:line="360" w:lineRule="auto"/>
        <w:jc w:val="both"/>
        <w:rPr>
          <w:rFonts w:ascii="Times New Roman" w:eastAsia="Times New Roman" w:hAnsi="Times New Roman" w:cs="Times New Roman"/>
          <w:sz w:val="24"/>
          <w:szCs w:val="24"/>
          <w:lang w:eastAsia="es-MX"/>
        </w:rPr>
      </w:pPr>
      <w:r w:rsidRPr="00BE33CA">
        <w:rPr>
          <w:rFonts w:ascii="Times New Roman" w:eastAsia="Times New Roman" w:hAnsi="Times New Roman" w:cs="Times New Roman"/>
          <w:sz w:val="24"/>
          <w:szCs w:val="24"/>
          <w:lang w:eastAsia="es-MX"/>
        </w:rPr>
        <w:t>La inclusión de obras como Nuestra América en un 80% de los programas educativos y proyectos como Semillas del Mañana resalta que sus principios de equidad, emancipación intelectual y patriotismo continúan inspirando iniciativas para combatir desigualdades digitales y ambientales. Estas acciones, fundamentadas en una "hermenéutica aplicada", transforman la memoria histórica en herramientas pedagógicas que promueven pensamiento crítico y creación comunitaria.</w:t>
      </w:r>
    </w:p>
    <w:p w14:paraId="120EB810" w14:textId="77777777" w:rsidR="001E69D3" w:rsidRPr="00BE33CA" w:rsidRDefault="001E69D3" w:rsidP="00BE33CA">
      <w:pPr>
        <w:widowControl w:val="0"/>
        <w:spacing w:after="0" w:line="360" w:lineRule="auto"/>
        <w:jc w:val="both"/>
        <w:rPr>
          <w:rFonts w:ascii="Times New Roman" w:eastAsia="Times New Roman" w:hAnsi="Times New Roman" w:cs="Times New Roman"/>
          <w:sz w:val="24"/>
          <w:szCs w:val="24"/>
          <w:lang w:eastAsia="es-MX"/>
        </w:rPr>
      </w:pPr>
      <w:r w:rsidRPr="00BE33CA">
        <w:rPr>
          <w:rFonts w:ascii="Times New Roman" w:eastAsia="Times New Roman" w:hAnsi="Times New Roman" w:cs="Times New Roman"/>
          <w:sz w:val="24"/>
          <w:szCs w:val="24"/>
          <w:lang w:eastAsia="es-MX"/>
        </w:rPr>
        <w:t xml:space="preserve">Sin embargo, existen tensiones entre la retórica institucional y las prácticas reales, especialmente en contextos de precariedad económica. Aunque el 85% de los jóvenes prefieren "construir soluciones" en lugar de denunciar, enfrentan limitaciones que complican la implementación de proyectos innovadores. A pesar de esto, el </w:t>
      </w:r>
      <w:proofErr w:type="spellStart"/>
      <w:r w:rsidRPr="00BE33CA">
        <w:rPr>
          <w:rFonts w:ascii="Times New Roman" w:eastAsia="Times New Roman" w:hAnsi="Times New Roman" w:cs="Times New Roman"/>
          <w:sz w:val="24"/>
          <w:szCs w:val="24"/>
          <w:lang w:eastAsia="es-MX"/>
        </w:rPr>
        <w:t>martianismo</w:t>
      </w:r>
      <w:proofErr w:type="spellEnd"/>
      <w:r w:rsidRPr="00BE33CA">
        <w:rPr>
          <w:rFonts w:ascii="Times New Roman" w:eastAsia="Times New Roman" w:hAnsi="Times New Roman" w:cs="Times New Roman"/>
          <w:sz w:val="24"/>
          <w:szCs w:val="24"/>
          <w:lang w:eastAsia="es-MX"/>
        </w:rPr>
        <w:t xml:space="preserve"> se convierte en un modelo de agencia transformadora, donde los jóvenes, como agentes activos, integran la memoria histórica con agendas globales, asegurando que el legado de Martí siga siendo una guía relevante para construir futuros más justos.</w:t>
      </w:r>
    </w:p>
    <w:p w14:paraId="59B80884" w14:textId="77777777" w:rsidR="001E69D3" w:rsidRPr="00BE33CA" w:rsidRDefault="001E69D3" w:rsidP="00BE33CA">
      <w:pPr>
        <w:widowControl w:val="0"/>
        <w:spacing w:line="360" w:lineRule="auto"/>
        <w:jc w:val="center"/>
        <w:rPr>
          <w:rFonts w:ascii="Times New Roman" w:eastAsia="Calibri" w:hAnsi="Times New Roman" w:cs="Times New Roman"/>
          <w:sz w:val="24"/>
          <w:szCs w:val="24"/>
          <w:lang w:val="es-MX"/>
        </w:rPr>
      </w:pPr>
      <w:r w:rsidRPr="00BE33CA">
        <w:rPr>
          <w:rFonts w:ascii="Times New Roman" w:eastAsia="Calibri" w:hAnsi="Times New Roman" w:cs="Times New Roman"/>
          <w:b/>
          <w:sz w:val="24"/>
          <w:szCs w:val="24"/>
          <w:lang w:val="es-MX"/>
        </w:rPr>
        <w:t>REFERENCIAS BIBLIOGRÁFICAS</w:t>
      </w:r>
    </w:p>
    <w:p w14:paraId="042B8D78"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Ávila Rodríguez, M.; García Gutiérrez, A.; Pérez Parrado, R. (2021). </w:t>
      </w:r>
      <w:r w:rsidRPr="00110F24">
        <w:rPr>
          <w:rFonts w:ascii="Times New Roman" w:hAnsi="Times New Roman" w:cs="Times New Roman"/>
          <w:i/>
          <w:iCs/>
          <w:sz w:val="24"/>
          <w:szCs w:val="24"/>
        </w:rPr>
        <w:t>El estudio de las ideas educativas de José Martí en Cuba entre 1990 y 2013.</w:t>
      </w:r>
      <w:r w:rsidRPr="00BE33CA">
        <w:rPr>
          <w:rFonts w:ascii="Times New Roman" w:hAnsi="Times New Roman" w:cs="Times New Roman"/>
          <w:sz w:val="24"/>
          <w:szCs w:val="24"/>
        </w:rPr>
        <w:t xml:space="preserve"> </w:t>
      </w:r>
      <w:proofErr w:type="spellStart"/>
      <w:r w:rsidRPr="00BE33CA">
        <w:rPr>
          <w:rFonts w:ascii="Times New Roman" w:hAnsi="Times New Roman" w:cs="Times New Roman"/>
          <w:sz w:val="24"/>
          <w:szCs w:val="24"/>
        </w:rPr>
        <w:t>EduSol</w:t>
      </w:r>
      <w:proofErr w:type="spellEnd"/>
      <w:r w:rsidRPr="00BE33CA">
        <w:rPr>
          <w:rFonts w:ascii="Times New Roman" w:hAnsi="Times New Roman" w:cs="Times New Roman"/>
          <w:sz w:val="24"/>
          <w:szCs w:val="24"/>
        </w:rPr>
        <w:t xml:space="preserve">, vol. 21, núm. 75, 2021. Centro Universitario de Guantánamo, Cuba. </w:t>
      </w:r>
      <w:hyperlink r:id="rId8" w:history="1">
        <w:r w:rsidRPr="00BE33CA">
          <w:rPr>
            <w:rStyle w:val="Hipervnculo"/>
            <w:rFonts w:ascii="Times New Roman" w:hAnsi="Times New Roman" w:cs="Times New Roman"/>
            <w:sz w:val="24"/>
            <w:szCs w:val="24"/>
          </w:rPr>
          <w:t>https://www.redalyc.org/articulo.oa?id=475768571007</w:t>
        </w:r>
      </w:hyperlink>
    </w:p>
    <w:p w14:paraId="15DEDC15"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Cano Quintero, M. C., &amp; Ordoñez, E. J. (2021). </w:t>
      </w:r>
      <w:r w:rsidRPr="00110F24">
        <w:rPr>
          <w:rFonts w:ascii="Times New Roman" w:hAnsi="Times New Roman" w:cs="Times New Roman"/>
          <w:i/>
          <w:iCs/>
          <w:sz w:val="24"/>
          <w:szCs w:val="24"/>
        </w:rPr>
        <w:t>Formación del profesorado en Latinoamérica. Revista De Ciencias Sociales,</w:t>
      </w:r>
      <w:r w:rsidRPr="00BE33CA">
        <w:rPr>
          <w:rFonts w:ascii="Times New Roman" w:hAnsi="Times New Roman" w:cs="Times New Roman"/>
          <w:sz w:val="24"/>
          <w:szCs w:val="24"/>
        </w:rPr>
        <w:t xml:space="preserve"> 27(2), 284-295. </w:t>
      </w:r>
      <w:hyperlink r:id="rId9" w:history="1">
        <w:r w:rsidRPr="00BE33CA">
          <w:rPr>
            <w:rStyle w:val="Hipervnculo"/>
            <w:rFonts w:ascii="Times New Roman" w:hAnsi="Times New Roman" w:cs="Times New Roman"/>
            <w:sz w:val="24"/>
            <w:szCs w:val="24"/>
          </w:rPr>
          <w:t>https://doi.org/10.31876/rcs.v27i2.35915</w:t>
        </w:r>
      </w:hyperlink>
    </w:p>
    <w:p w14:paraId="21ADE0E8"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Cantor Hernández, I. F. (2020). </w:t>
      </w:r>
      <w:r w:rsidRPr="00110F24">
        <w:rPr>
          <w:rFonts w:ascii="Times New Roman" w:hAnsi="Times New Roman" w:cs="Times New Roman"/>
          <w:i/>
          <w:iCs/>
          <w:sz w:val="24"/>
          <w:szCs w:val="24"/>
        </w:rPr>
        <w:t>Análisis sobre la metodología participativa implementada en la fase de formulación de la Política Pública Distrital de Juventud (2019-2030)</w:t>
      </w:r>
      <w:r w:rsidRPr="00BE33CA">
        <w:rPr>
          <w:rFonts w:ascii="Times New Roman" w:hAnsi="Times New Roman" w:cs="Times New Roman"/>
          <w:sz w:val="24"/>
          <w:szCs w:val="24"/>
        </w:rPr>
        <w:t xml:space="preserve"> (Doctoral </w:t>
      </w:r>
      <w:proofErr w:type="spellStart"/>
      <w:r w:rsidRPr="00BE33CA">
        <w:rPr>
          <w:rFonts w:ascii="Times New Roman" w:hAnsi="Times New Roman" w:cs="Times New Roman"/>
          <w:sz w:val="24"/>
          <w:szCs w:val="24"/>
        </w:rPr>
        <w:t>dissertation</w:t>
      </w:r>
      <w:proofErr w:type="spellEnd"/>
      <w:r w:rsidRPr="00BE33CA">
        <w:rPr>
          <w:rFonts w:ascii="Times New Roman" w:hAnsi="Times New Roman" w:cs="Times New Roman"/>
          <w:sz w:val="24"/>
          <w:szCs w:val="24"/>
        </w:rPr>
        <w:t xml:space="preserve">, </w:t>
      </w:r>
      <w:r w:rsidRPr="00BE33CA">
        <w:rPr>
          <w:rFonts w:ascii="Times New Roman" w:hAnsi="Times New Roman" w:cs="Times New Roman"/>
          <w:sz w:val="24"/>
          <w:szCs w:val="24"/>
        </w:rPr>
        <w:lastRenderedPageBreak/>
        <w:t xml:space="preserve">Corporación Universitaria Minuto de Dios). </w:t>
      </w:r>
      <w:hyperlink r:id="rId10" w:history="1">
        <w:r w:rsidRPr="00BE33CA">
          <w:rPr>
            <w:rStyle w:val="Hipervnculo"/>
            <w:rFonts w:ascii="Times New Roman" w:hAnsi="Times New Roman" w:cs="Times New Roman"/>
            <w:sz w:val="24"/>
            <w:szCs w:val="24"/>
          </w:rPr>
          <w:t>https://repository.uniminuto.edu/server/api/core/bitstreams/e47ec527-f40c-41bf-91a7-25930ed426fa/content</w:t>
        </w:r>
      </w:hyperlink>
    </w:p>
    <w:p w14:paraId="2699DE81" w14:textId="77777777" w:rsidR="001E69D3" w:rsidRPr="00BE33CA" w:rsidRDefault="001E69D3" w:rsidP="00BE33CA">
      <w:pPr>
        <w:widowControl w:val="0"/>
        <w:spacing w:after="0" w:line="360" w:lineRule="auto"/>
        <w:ind w:left="720" w:hanging="720"/>
        <w:rPr>
          <w:rFonts w:ascii="Times New Roman" w:hAnsi="Times New Roman" w:cs="Times New Roman"/>
          <w:sz w:val="24"/>
          <w:szCs w:val="24"/>
        </w:rPr>
      </w:pPr>
      <w:r w:rsidRPr="00BE33CA">
        <w:rPr>
          <w:rFonts w:ascii="Times New Roman" w:hAnsi="Times New Roman" w:cs="Times New Roman"/>
          <w:sz w:val="24"/>
          <w:szCs w:val="24"/>
        </w:rPr>
        <w:t>Castells,</w:t>
      </w:r>
      <w:r w:rsidRPr="00BE33CA">
        <w:rPr>
          <w:rFonts w:ascii="Times New Roman" w:hAnsi="Times New Roman" w:cs="Times New Roman"/>
          <w:sz w:val="24"/>
          <w:szCs w:val="24"/>
        </w:rPr>
        <w:tab/>
        <w:t xml:space="preserve"> M.</w:t>
      </w:r>
      <w:r w:rsidRPr="00BE33CA">
        <w:rPr>
          <w:rFonts w:ascii="Times New Roman" w:hAnsi="Times New Roman" w:cs="Times New Roman"/>
          <w:sz w:val="24"/>
          <w:szCs w:val="24"/>
        </w:rPr>
        <w:tab/>
        <w:t xml:space="preserve"> (2020)</w:t>
      </w:r>
      <w:r w:rsidRPr="00BE33CA">
        <w:rPr>
          <w:rFonts w:ascii="Times New Roman" w:hAnsi="Times New Roman" w:cs="Times New Roman"/>
          <w:sz w:val="24"/>
          <w:szCs w:val="24"/>
        </w:rPr>
        <w:tab/>
        <w:t xml:space="preserve"> La </w:t>
      </w:r>
      <w:proofErr w:type="spellStart"/>
      <w:r w:rsidRPr="00BE33CA">
        <w:rPr>
          <w:rFonts w:ascii="Times New Roman" w:hAnsi="Times New Roman" w:cs="Times New Roman"/>
          <w:sz w:val="24"/>
          <w:szCs w:val="24"/>
        </w:rPr>
        <w:t>société</w:t>
      </w:r>
      <w:proofErr w:type="spellEnd"/>
      <w:r w:rsidRPr="00BE33CA">
        <w:rPr>
          <w:rFonts w:ascii="Times New Roman" w:hAnsi="Times New Roman" w:cs="Times New Roman"/>
          <w:sz w:val="24"/>
          <w:szCs w:val="24"/>
        </w:rPr>
        <w:t xml:space="preserve"> en </w:t>
      </w:r>
      <w:proofErr w:type="spellStart"/>
      <w:r w:rsidRPr="00BE33CA">
        <w:rPr>
          <w:rFonts w:ascii="Times New Roman" w:hAnsi="Times New Roman" w:cs="Times New Roman"/>
          <w:sz w:val="24"/>
          <w:szCs w:val="24"/>
        </w:rPr>
        <w:t>réseaux</w:t>
      </w:r>
      <w:proofErr w:type="spellEnd"/>
      <w:r w:rsidRPr="00BE33CA">
        <w:rPr>
          <w:rFonts w:ascii="Times New Roman" w:hAnsi="Times New Roman" w:cs="Times New Roman"/>
          <w:sz w:val="24"/>
          <w:szCs w:val="24"/>
        </w:rPr>
        <w:t xml:space="preserve">: </w:t>
      </w:r>
      <w:proofErr w:type="spellStart"/>
      <w:r w:rsidRPr="00BE33CA">
        <w:rPr>
          <w:rFonts w:ascii="Times New Roman" w:hAnsi="Times New Roman" w:cs="Times New Roman"/>
          <w:sz w:val="24"/>
          <w:szCs w:val="24"/>
        </w:rPr>
        <w:t>réévaluations</w:t>
      </w:r>
      <w:proofErr w:type="spellEnd"/>
      <w:r w:rsidRPr="00BE33CA">
        <w:rPr>
          <w:rFonts w:ascii="Times New Roman" w:hAnsi="Times New Roman" w:cs="Times New Roman"/>
          <w:sz w:val="24"/>
          <w:szCs w:val="24"/>
        </w:rPr>
        <w:t xml:space="preserve"> et </w:t>
      </w:r>
      <w:proofErr w:type="spellStart"/>
      <w:r w:rsidRPr="00BE33CA">
        <w:rPr>
          <w:rFonts w:ascii="Times New Roman" w:hAnsi="Times New Roman" w:cs="Times New Roman"/>
          <w:sz w:val="24"/>
          <w:szCs w:val="24"/>
        </w:rPr>
        <w:t>applications</w:t>
      </w:r>
      <w:proofErr w:type="spellEnd"/>
      <w:r w:rsidRPr="00BE33CA">
        <w:rPr>
          <w:rFonts w:ascii="Times New Roman" w:hAnsi="Times New Roman" w:cs="Times New Roman"/>
          <w:sz w:val="24"/>
          <w:szCs w:val="24"/>
        </w:rPr>
        <w:t xml:space="preserve"> </w:t>
      </w:r>
      <w:proofErr w:type="spellStart"/>
      <w:r w:rsidRPr="00BE33CA">
        <w:rPr>
          <w:rFonts w:ascii="Times New Roman" w:hAnsi="Times New Roman" w:cs="Times New Roman"/>
          <w:sz w:val="24"/>
          <w:szCs w:val="24"/>
        </w:rPr>
        <w:t>d'un</w:t>
      </w:r>
      <w:proofErr w:type="spellEnd"/>
      <w:r w:rsidRPr="00BE33CA">
        <w:rPr>
          <w:rFonts w:ascii="Times New Roman" w:hAnsi="Times New Roman" w:cs="Times New Roman"/>
          <w:sz w:val="24"/>
          <w:szCs w:val="24"/>
        </w:rPr>
        <w:t xml:space="preserve"> concept », Chamada de </w:t>
      </w:r>
      <w:proofErr w:type="spellStart"/>
      <w:r w:rsidRPr="00BE33CA">
        <w:rPr>
          <w:rFonts w:ascii="Times New Roman" w:hAnsi="Times New Roman" w:cs="Times New Roman"/>
          <w:sz w:val="24"/>
          <w:szCs w:val="24"/>
        </w:rPr>
        <w:t>trabalhos</w:t>
      </w:r>
      <w:proofErr w:type="spellEnd"/>
      <w:r w:rsidRPr="00BE33CA">
        <w:rPr>
          <w:rFonts w:ascii="Times New Roman" w:hAnsi="Times New Roman" w:cs="Times New Roman"/>
          <w:sz w:val="24"/>
          <w:szCs w:val="24"/>
        </w:rPr>
        <w:t xml:space="preserve">, Calenda, Publicado </w:t>
      </w:r>
      <w:proofErr w:type="spellStart"/>
      <w:r w:rsidRPr="00BE33CA">
        <w:rPr>
          <w:rFonts w:ascii="Times New Roman" w:hAnsi="Times New Roman" w:cs="Times New Roman"/>
          <w:sz w:val="24"/>
          <w:szCs w:val="24"/>
        </w:rPr>
        <w:t>terça</w:t>
      </w:r>
      <w:proofErr w:type="spellEnd"/>
      <w:r w:rsidRPr="00BE33CA">
        <w:rPr>
          <w:rFonts w:ascii="Times New Roman" w:hAnsi="Times New Roman" w:cs="Times New Roman"/>
          <w:sz w:val="24"/>
          <w:szCs w:val="24"/>
        </w:rPr>
        <w:t xml:space="preserve">, 15 de </w:t>
      </w:r>
      <w:proofErr w:type="spellStart"/>
      <w:r w:rsidRPr="00BE33CA">
        <w:rPr>
          <w:rFonts w:ascii="Times New Roman" w:hAnsi="Times New Roman" w:cs="Times New Roman"/>
          <w:sz w:val="24"/>
          <w:szCs w:val="24"/>
        </w:rPr>
        <w:t>dezembro</w:t>
      </w:r>
      <w:proofErr w:type="spellEnd"/>
      <w:r w:rsidRPr="00BE33CA">
        <w:rPr>
          <w:rFonts w:ascii="Times New Roman" w:hAnsi="Times New Roman" w:cs="Times New Roman"/>
          <w:sz w:val="24"/>
          <w:szCs w:val="24"/>
        </w:rPr>
        <w:t xml:space="preserve"> de 2020, </w:t>
      </w:r>
      <w:hyperlink r:id="rId11" w:history="1">
        <w:r w:rsidRPr="00BE33CA">
          <w:rPr>
            <w:rStyle w:val="Hipervnculo"/>
            <w:rFonts w:ascii="Times New Roman" w:hAnsi="Times New Roman" w:cs="Times New Roman"/>
            <w:sz w:val="24"/>
            <w:szCs w:val="24"/>
          </w:rPr>
          <w:t>https://doi.org/10.58079/15ow</w:t>
        </w:r>
      </w:hyperlink>
    </w:p>
    <w:p w14:paraId="77F9B382"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Coleman, ML, </w:t>
      </w:r>
      <w:proofErr w:type="spellStart"/>
      <w:r w:rsidRPr="00BE33CA">
        <w:rPr>
          <w:rFonts w:ascii="Times New Roman" w:hAnsi="Times New Roman" w:cs="Times New Roman"/>
          <w:sz w:val="24"/>
          <w:szCs w:val="24"/>
        </w:rPr>
        <w:t>Ragan</w:t>
      </w:r>
      <w:proofErr w:type="spellEnd"/>
      <w:r w:rsidRPr="00BE33CA">
        <w:rPr>
          <w:rFonts w:ascii="Times New Roman" w:hAnsi="Times New Roman" w:cs="Times New Roman"/>
          <w:sz w:val="24"/>
          <w:szCs w:val="24"/>
        </w:rPr>
        <w:t xml:space="preserve">, M. y </w:t>
      </w:r>
      <w:proofErr w:type="spellStart"/>
      <w:r w:rsidRPr="00BE33CA">
        <w:rPr>
          <w:rFonts w:ascii="Times New Roman" w:hAnsi="Times New Roman" w:cs="Times New Roman"/>
          <w:sz w:val="24"/>
          <w:szCs w:val="24"/>
        </w:rPr>
        <w:t>Dari</w:t>
      </w:r>
      <w:proofErr w:type="spellEnd"/>
      <w:r w:rsidRPr="00BE33CA">
        <w:rPr>
          <w:rFonts w:ascii="Times New Roman" w:hAnsi="Times New Roman" w:cs="Times New Roman"/>
          <w:sz w:val="24"/>
          <w:szCs w:val="24"/>
        </w:rPr>
        <w:t xml:space="preserve">, T. (2024). Fiabilidad </w:t>
      </w:r>
      <w:proofErr w:type="spellStart"/>
      <w:r w:rsidRPr="00BE33CA">
        <w:rPr>
          <w:rFonts w:ascii="Times New Roman" w:hAnsi="Times New Roman" w:cs="Times New Roman"/>
          <w:sz w:val="24"/>
          <w:szCs w:val="24"/>
        </w:rPr>
        <w:t>intercodificadora</w:t>
      </w:r>
      <w:proofErr w:type="spellEnd"/>
      <w:r w:rsidRPr="00BE33CA">
        <w:rPr>
          <w:rFonts w:ascii="Times New Roman" w:hAnsi="Times New Roman" w:cs="Times New Roman"/>
          <w:sz w:val="24"/>
          <w:szCs w:val="24"/>
        </w:rPr>
        <w:t xml:space="preserve"> para su uso en investigación y evaluación cualitativas. Medición y evaluación en asesoramiento y desarrollo, 57 (2), 136–146. </w:t>
      </w:r>
      <w:hyperlink r:id="rId12" w:history="1">
        <w:r w:rsidRPr="00BE33CA">
          <w:rPr>
            <w:rStyle w:val="Hipervnculo"/>
            <w:rFonts w:ascii="Times New Roman" w:hAnsi="Times New Roman" w:cs="Times New Roman"/>
            <w:sz w:val="24"/>
            <w:szCs w:val="24"/>
          </w:rPr>
          <w:t>https://doi.org/10.1080/07481756.2024.2303715</w:t>
        </w:r>
      </w:hyperlink>
    </w:p>
    <w:p w14:paraId="4168685B"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lang w:val="en-US"/>
        </w:rPr>
      </w:pPr>
      <w:r w:rsidRPr="00BE33CA">
        <w:rPr>
          <w:rFonts w:ascii="Times New Roman" w:hAnsi="Times New Roman" w:cs="Times New Roman"/>
          <w:sz w:val="24"/>
          <w:szCs w:val="24"/>
        </w:rPr>
        <w:t xml:space="preserve">Creswell, JW (2024). </w:t>
      </w:r>
      <w:r w:rsidRPr="00110F24">
        <w:rPr>
          <w:rFonts w:ascii="Times New Roman" w:hAnsi="Times New Roman" w:cs="Times New Roman"/>
          <w:i/>
          <w:iCs/>
          <w:sz w:val="24"/>
          <w:szCs w:val="24"/>
        </w:rPr>
        <w:t>Mis 35 años en investigación con métodos mixtos.</w:t>
      </w:r>
      <w:r w:rsidRPr="00BE33CA">
        <w:rPr>
          <w:rFonts w:ascii="Times New Roman" w:hAnsi="Times New Roman" w:cs="Times New Roman"/>
          <w:sz w:val="24"/>
          <w:szCs w:val="24"/>
        </w:rPr>
        <w:t xml:space="preserve"> </w:t>
      </w:r>
      <w:r w:rsidRPr="00BE33CA">
        <w:rPr>
          <w:rFonts w:ascii="Times New Roman" w:hAnsi="Times New Roman" w:cs="Times New Roman"/>
          <w:sz w:val="24"/>
          <w:szCs w:val="24"/>
          <w:lang w:val="en-US"/>
        </w:rPr>
        <w:t>Journal of Mixed Methods Research, 18 (3), 203-215. (</w:t>
      </w:r>
      <w:proofErr w:type="spellStart"/>
      <w:r w:rsidRPr="00BE33CA">
        <w:rPr>
          <w:rFonts w:ascii="Times New Roman" w:hAnsi="Times New Roman" w:cs="Times New Roman"/>
          <w:sz w:val="24"/>
          <w:szCs w:val="24"/>
          <w:lang w:val="en-US"/>
        </w:rPr>
        <w:t>Trabajo</w:t>
      </w:r>
      <w:proofErr w:type="spellEnd"/>
      <w:r w:rsidRPr="00BE33CA">
        <w:rPr>
          <w:rFonts w:ascii="Times New Roman" w:hAnsi="Times New Roman" w:cs="Times New Roman"/>
          <w:sz w:val="24"/>
          <w:szCs w:val="24"/>
          <w:lang w:val="en-US"/>
        </w:rPr>
        <w:t xml:space="preserve"> original </w:t>
      </w:r>
      <w:proofErr w:type="spellStart"/>
      <w:r w:rsidRPr="00BE33CA">
        <w:rPr>
          <w:rFonts w:ascii="Times New Roman" w:hAnsi="Times New Roman" w:cs="Times New Roman"/>
          <w:sz w:val="24"/>
          <w:szCs w:val="24"/>
          <w:lang w:val="en-US"/>
        </w:rPr>
        <w:t>publicado</w:t>
      </w:r>
      <w:proofErr w:type="spellEnd"/>
      <w:r w:rsidRPr="00BE33CA">
        <w:rPr>
          <w:rFonts w:ascii="Times New Roman" w:hAnsi="Times New Roman" w:cs="Times New Roman"/>
          <w:sz w:val="24"/>
          <w:szCs w:val="24"/>
          <w:lang w:val="en-US"/>
        </w:rPr>
        <w:t xml:space="preserve"> </w:t>
      </w:r>
      <w:proofErr w:type="spellStart"/>
      <w:r w:rsidRPr="00BE33CA">
        <w:rPr>
          <w:rFonts w:ascii="Times New Roman" w:hAnsi="Times New Roman" w:cs="Times New Roman"/>
          <w:sz w:val="24"/>
          <w:szCs w:val="24"/>
          <w:lang w:val="en-US"/>
        </w:rPr>
        <w:t>en</w:t>
      </w:r>
      <w:proofErr w:type="spellEnd"/>
      <w:r w:rsidRPr="00BE33CA">
        <w:rPr>
          <w:rFonts w:ascii="Times New Roman" w:hAnsi="Times New Roman" w:cs="Times New Roman"/>
          <w:sz w:val="24"/>
          <w:szCs w:val="24"/>
          <w:lang w:val="en-US"/>
        </w:rPr>
        <w:t xml:space="preserve"> 2024) </w:t>
      </w:r>
      <w:hyperlink r:id="rId13" w:history="1">
        <w:r w:rsidRPr="00BE33CA">
          <w:rPr>
            <w:rStyle w:val="Hipervnculo"/>
            <w:rFonts w:ascii="Times New Roman" w:hAnsi="Times New Roman" w:cs="Times New Roman"/>
            <w:sz w:val="24"/>
            <w:szCs w:val="24"/>
            <w:lang w:val="en-US"/>
          </w:rPr>
          <w:t>https://doi.org/10.1177/15586898241253892</w:t>
        </w:r>
      </w:hyperlink>
      <w:r w:rsidRPr="00BE33CA">
        <w:rPr>
          <w:rFonts w:ascii="Times New Roman" w:hAnsi="Times New Roman" w:cs="Times New Roman"/>
          <w:sz w:val="24"/>
          <w:szCs w:val="24"/>
          <w:lang w:val="en-US"/>
        </w:rPr>
        <w:t xml:space="preserve"> </w:t>
      </w:r>
    </w:p>
    <w:p w14:paraId="5D7834B6"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Escribano </w:t>
      </w:r>
      <w:proofErr w:type="spellStart"/>
      <w:r w:rsidRPr="00BE33CA">
        <w:rPr>
          <w:rFonts w:ascii="Times New Roman" w:hAnsi="Times New Roman" w:cs="Times New Roman"/>
          <w:sz w:val="24"/>
          <w:szCs w:val="24"/>
        </w:rPr>
        <w:t>Hervis</w:t>
      </w:r>
      <w:proofErr w:type="spellEnd"/>
      <w:r w:rsidRPr="00BE33CA">
        <w:rPr>
          <w:rFonts w:ascii="Times New Roman" w:hAnsi="Times New Roman" w:cs="Times New Roman"/>
          <w:sz w:val="24"/>
          <w:szCs w:val="24"/>
        </w:rPr>
        <w:t xml:space="preserve"> E., </w:t>
      </w:r>
      <w:proofErr w:type="spellStart"/>
      <w:r w:rsidRPr="00BE33CA">
        <w:rPr>
          <w:rFonts w:ascii="Times New Roman" w:hAnsi="Times New Roman" w:cs="Times New Roman"/>
          <w:sz w:val="24"/>
          <w:szCs w:val="24"/>
        </w:rPr>
        <w:t>Boulet</w:t>
      </w:r>
      <w:proofErr w:type="spellEnd"/>
      <w:r w:rsidRPr="00BE33CA">
        <w:rPr>
          <w:rFonts w:ascii="Times New Roman" w:hAnsi="Times New Roman" w:cs="Times New Roman"/>
          <w:sz w:val="24"/>
          <w:szCs w:val="24"/>
        </w:rPr>
        <w:t xml:space="preserve"> Martínez </w:t>
      </w:r>
      <w:proofErr w:type="gramStart"/>
      <w:r w:rsidRPr="00BE33CA">
        <w:rPr>
          <w:rFonts w:ascii="Times New Roman" w:hAnsi="Times New Roman" w:cs="Times New Roman"/>
          <w:sz w:val="24"/>
          <w:szCs w:val="24"/>
        </w:rPr>
        <w:t>R..</w:t>
      </w:r>
      <w:proofErr w:type="gramEnd"/>
      <w:r w:rsidRPr="00BE33CA">
        <w:rPr>
          <w:rFonts w:ascii="Times New Roman" w:hAnsi="Times New Roman" w:cs="Times New Roman"/>
          <w:sz w:val="24"/>
          <w:szCs w:val="24"/>
        </w:rPr>
        <w:t xml:space="preserve"> (2024). </w:t>
      </w:r>
      <w:r w:rsidRPr="00110F24">
        <w:rPr>
          <w:rFonts w:ascii="Times New Roman" w:hAnsi="Times New Roman" w:cs="Times New Roman"/>
          <w:i/>
          <w:iCs/>
          <w:sz w:val="24"/>
          <w:szCs w:val="24"/>
        </w:rPr>
        <w:t>Educar con José Martí en la escuela cubana de hoy. Revista de Estudios Interculturales desde Latinoamérica y el Caribe. Facultad Ciencias de la Educación. Universidad de La Guajira.</w:t>
      </w:r>
      <w:r w:rsidRPr="00BE33CA">
        <w:rPr>
          <w:rFonts w:ascii="Times New Roman" w:hAnsi="Times New Roman" w:cs="Times New Roman"/>
          <w:sz w:val="24"/>
          <w:szCs w:val="24"/>
        </w:rPr>
        <w:t xml:space="preserve"> Colombia. ISSN: 0123-9333 / e-ISSN 2805-6159, Año: 18 </w:t>
      </w:r>
      <w:proofErr w:type="spellStart"/>
      <w:r w:rsidRPr="00BE33CA">
        <w:rPr>
          <w:rFonts w:ascii="Times New Roman" w:hAnsi="Times New Roman" w:cs="Times New Roman"/>
          <w:sz w:val="24"/>
          <w:szCs w:val="24"/>
        </w:rPr>
        <w:t>N.o</w:t>
      </w:r>
      <w:proofErr w:type="spellEnd"/>
      <w:r w:rsidRPr="00BE33CA">
        <w:rPr>
          <w:rFonts w:ascii="Times New Roman" w:hAnsi="Times New Roman" w:cs="Times New Roman"/>
          <w:sz w:val="24"/>
          <w:szCs w:val="24"/>
        </w:rPr>
        <w:t xml:space="preserve"> 34 (enero-junio), 2024, pp. 284-300,   https//doi.org/10.5281/zenodo.10472721</w:t>
      </w:r>
    </w:p>
    <w:p w14:paraId="678B1929"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 </w:t>
      </w:r>
      <w:proofErr w:type="spellStart"/>
      <w:r w:rsidRPr="00BE33CA">
        <w:rPr>
          <w:rFonts w:ascii="Times New Roman" w:hAnsi="Times New Roman" w:cs="Times New Roman"/>
          <w:sz w:val="24"/>
          <w:szCs w:val="24"/>
        </w:rPr>
        <w:t>Flick</w:t>
      </w:r>
      <w:proofErr w:type="spellEnd"/>
      <w:r w:rsidRPr="00BE33CA">
        <w:rPr>
          <w:rFonts w:ascii="Times New Roman" w:hAnsi="Times New Roman" w:cs="Times New Roman"/>
          <w:sz w:val="24"/>
          <w:szCs w:val="24"/>
        </w:rPr>
        <w:t xml:space="preserve">, U. (2020). </w:t>
      </w:r>
      <w:r w:rsidRPr="00110F24">
        <w:rPr>
          <w:rFonts w:ascii="Times New Roman" w:hAnsi="Times New Roman" w:cs="Times New Roman"/>
          <w:i/>
          <w:iCs/>
          <w:sz w:val="24"/>
          <w:szCs w:val="24"/>
        </w:rPr>
        <w:t>Introducción a la investigación cualitativa</w:t>
      </w:r>
      <w:r w:rsidRPr="00BE33CA">
        <w:rPr>
          <w:rFonts w:ascii="Times New Roman" w:hAnsi="Times New Roman" w:cs="Times New Roman"/>
          <w:sz w:val="24"/>
          <w:szCs w:val="24"/>
        </w:rPr>
        <w:t xml:space="preserve"> (4ª ed.). Morata.  </w:t>
      </w:r>
      <w:hyperlink r:id="rId14" w:history="1">
        <w:r w:rsidRPr="00BE33CA">
          <w:rPr>
            <w:rStyle w:val="Hipervnculo"/>
            <w:rFonts w:ascii="Times New Roman" w:hAnsi="Times New Roman" w:cs="Times New Roman"/>
            <w:sz w:val="24"/>
            <w:szCs w:val="24"/>
          </w:rPr>
          <w:t>https://edmorata.es/wp-content/uploads/2020/06/Flick.Disen%CC%83oInvestigacionCualitativa.PR_.pdf</w:t>
        </w:r>
      </w:hyperlink>
    </w:p>
    <w:p w14:paraId="5E511B13" w14:textId="77777777" w:rsidR="001E69D3" w:rsidRPr="006C63C2" w:rsidRDefault="001E69D3" w:rsidP="00BE33CA">
      <w:pPr>
        <w:widowControl w:val="0"/>
        <w:spacing w:after="0" w:line="360" w:lineRule="auto"/>
        <w:ind w:left="720" w:hanging="720"/>
        <w:jc w:val="both"/>
        <w:rPr>
          <w:rFonts w:ascii="Times New Roman" w:hAnsi="Times New Roman" w:cs="Times New Roman"/>
          <w:sz w:val="24"/>
          <w:szCs w:val="24"/>
          <w:lang w:val="en-US"/>
        </w:rPr>
      </w:pPr>
      <w:r w:rsidRPr="00BE33CA">
        <w:rPr>
          <w:rFonts w:ascii="Times New Roman" w:hAnsi="Times New Roman" w:cs="Times New Roman"/>
          <w:sz w:val="24"/>
          <w:szCs w:val="24"/>
        </w:rPr>
        <w:t xml:space="preserve"> Freire, P. (2020). Pedagogía del oprimido (Ed. conmemorativa). Siglo XXI. (Obra original publicada en 1968).  </w:t>
      </w:r>
      <w:r w:rsidRPr="006C63C2">
        <w:rPr>
          <w:rFonts w:ascii="Times New Roman" w:hAnsi="Times New Roman" w:cs="Times New Roman"/>
          <w:sz w:val="24"/>
          <w:szCs w:val="24"/>
          <w:lang w:val="en-US"/>
        </w:rPr>
        <w:t xml:space="preserve">ISBN978-84-323-2078-1. </w:t>
      </w:r>
      <w:hyperlink r:id="rId15" w:history="1">
        <w:r w:rsidRPr="006C63C2">
          <w:rPr>
            <w:rStyle w:val="Hipervnculo"/>
            <w:rFonts w:ascii="Times New Roman" w:hAnsi="Times New Roman" w:cs="Times New Roman"/>
            <w:sz w:val="24"/>
            <w:szCs w:val="24"/>
            <w:lang w:val="en-US"/>
          </w:rPr>
          <w:t>https://www.sigloxxieditores.com/libro/pedagogia-del-oprimido_53586/</w:t>
        </w:r>
      </w:hyperlink>
    </w:p>
    <w:p w14:paraId="6888984B" w14:textId="77777777" w:rsidR="001E69D3" w:rsidRPr="006C63C2" w:rsidRDefault="001E69D3" w:rsidP="00BE33CA">
      <w:pPr>
        <w:widowControl w:val="0"/>
        <w:spacing w:after="0" w:line="360" w:lineRule="auto"/>
        <w:ind w:left="720" w:hanging="720"/>
        <w:jc w:val="both"/>
        <w:rPr>
          <w:rFonts w:ascii="Times New Roman" w:hAnsi="Times New Roman" w:cs="Times New Roman"/>
          <w:sz w:val="24"/>
          <w:szCs w:val="24"/>
          <w:lang w:val="es-CU"/>
        </w:rPr>
      </w:pPr>
      <w:r w:rsidRPr="00BE33CA">
        <w:rPr>
          <w:rFonts w:ascii="Times New Roman" w:hAnsi="Times New Roman" w:cs="Times New Roman"/>
          <w:sz w:val="24"/>
          <w:szCs w:val="24"/>
          <w:lang w:val="en-US"/>
        </w:rPr>
        <w:t xml:space="preserve">Johnson, J. L., Adkins, D., &amp; Chauvin, S. (2020). </w:t>
      </w:r>
      <w:r w:rsidRPr="00110F24">
        <w:rPr>
          <w:rFonts w:ascii="Times New Roman" w:hAnsi="Times New Roman" w:cs="Times New Roman"/>
          <w:i/>
          <w:iCs/>
          <w:sz w:val="24"/>
          <w:szCs w:val="24"/>
          <w:lang w:val="en-US"/>
        </w:rPr>
        <w:t xml:space="preserve">A Review of the Quality Indicators of Rigor in Qualitative Research. </w:t>
      </w:r>
      <w:r w:rsidRPr="006C63C2">
        <w:rPr>
          <w:rFonts w:ascii="Times New Roman" w:hAnsi="Times New Roman" w:cs="Times New Roman"/>
          <w:i/>
          <w:iCs/>
          <w:sz w:val="24"/>
          <w:szCs w:val="24"/>
          <w:lang w:val="es-CU"/>
        </w:rPr>
        <w:t>American journal of pharmaceutical education</w:t>
      </w:r>
      <w:r w:rsidRPr="006C63C2">
        <w:rPr>
          <w:rFonts w:ascii="Times New Roman" w:hAnsi="Times New Roman" w:cs="Times New Roman"/>
          <w:sz w:val="24"/>
          <w:szCs w:val="24"/>
          <w:lang w:val="es-CU"/>
        </w:rPr>
        <w:t xml:space="preserve">, 84(1), 7120. </w:t>
      </w:r>
      <w:hyperlink r:id="rId16" w:history="1">
        <w:r w:rsidRPr="006C63C2">
          <w:rPr>
            <w:rStyle w:val="Hipervnculo"/>
            <w:rFonts w:ascii="Times New Roman" w:hAnsi="Times New Roman" w:cs="Times New Roman"/>
            <w:sz w:val="24"/>
            <w:szCs w:val="24"/>
            <w:lang w:val="es-CU"/>
          </w:rPr>
          <w:t>https://doi.org/10.5688/ajpe7120</w:t>
        </w:r>
      </w:hyperlink>
      <w:r w:rsidRPr="006C63C2">
        <w:rPr>
          <w:rFonts w:ascii="Times New Roman" w:hAnsi="Times New Roman" w:cs="Times New Roman"/>
          <w:sz w:val="24"/>
          <w:szCs w:val="24"/>
          <w:lang w:val="es-CU"/>
        </w:rPr>
        <w:t xml:space="preserve"> </w:t>
      </w:r>
    </w:p>
    <w:p w14:paraId="5B4760C4" w14:textId="77777777" w:rsidR="001E69D3" w:rsidRPr="00BE33CA" w:rsidRDefault="001E69D3" w:rsidP="00BE33CA">
      <w:pPr>
        <w:widowControl w:val="0"/>
        <w:spacing w:after="0" w:line="360" w:lineRule="auto"/>
        <w:ind w:left="720" w:hanging="720"/>
        <w:jc w:val="both"/>
        <w:rPr>
          <w:rStyle w:val="Hipervnculo"/>
          <w:rFonts w:ascii="Times New Roman" w:hAnsi="Times New Roman" w:cs="Times New Roman"/>
          <w:sz w:val="24"/>
          <w:szCs w:val="24"/>
        </w:rPr>
      </w:pPr>
      <w:proofErr w:type="spellStart"/>
      <w:r w:rsidRPr="00BE33CA">
        <w:rPr>
          <w:rFonts w:ascii="Times New Roman" w:hAnsi="Times New Roman" w:cs="Times New Roman"/>
          <w:sz w:val="24"/>
          <w:szCs w:val="24"/>
        </w:rPr>
        <w:t>Labacena</w:t>
      </w:r>
      <w:proofErr w:type="spellEnd"/>
      <w:r w:rsidRPr="00BE33CA">
        <w:rPr>
          <w:rFonts w:ascii="Times New Roman" w:hAnsi="Times New Roman" w:cs="Times New Roman"/>
          <w:sz w:val="24"/>
          <w:szCs w:val="24"/>
        </w:rPr>
        <w:t xml:space="preserve"> Romero Y. (2025). La naturaleza es nuestro hogar, ¡cuidémosla! Periódico Juventud Rebelde. </w:t>
      </w:r>
      <w:hyperlink r:id="rId17" w:history="1">
        <w:r w:rsidRPr="00BE33CA">
          <w:rPr>
            <w:rStyle w:val="Hipervnculo"/>
            <w:rFonts w:ascii="Times New Roman" w:hAnsi="Times New Roman" w:cs="Times New Roman"/>
            <w:sz w:val="24"/>
            <w:szCs w:val="24"/>
          </w:rPr>
          <w:t>https://www.juventudrebelde.cu/cuba/2024-09-02/la-naturaleza-es-nuestro-hogar-cuidemosla</w:t>
        </w:r>
      </w:hyperlink>
    </w:p>
    <w:p w14:paraId="5C583224"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Martí, J. (2019). Nuestra América. Edición Bilingüe. Centro de Estudios Martianos, Centro de Estudios </w:t>
      </w:r>
      <w:r w:rsidRPr="00BE33CA">
        <w:rPr>
          <w:rFonts w:ascii="Times New Roman" w:hAnsi="Times New Roman" w:cs="Times New Roman"/>
          <w:sz w:val="24"/>
          <w:szCs w:val="24"/>
        </w:rPr>
        <w:lastRenderedPageBreak/>
        <w:t xml:space="preserve">Martianos. </w:t>
      </w:r>
      <w:proofErr w:type="spellStart"/>
      <w:r w:rsidRPr="00BE33CA">
        <w:rPr>
          <w:rFonts w:ascii="Times New Roman" w:hAnsi="Times New Roman" w:cs="Times New Roman"/>
          <w:sz w:val="24"/>
          <w:szCs w:val="24"/>
        </w:rPr>
        <w:t>Retrieved</w:t>
      </w:r>
      <w:proofErr w:type="spellEnd"/>
      <w:r w:rsidRPr="00BE33CA">
        <w:rPr>
          <w:rFonts w:ascii="Times New Roman" w:hAnsi="Times New Roman" w:cs="Times New Roman"/>
          <w:sz w:val="24"/>
          <w:szCs w:val="24"/>
        </w:rPr>
        <w:t xml:space="preserve"> </w:t>
      </w:r>
      <w:proofErr w:type="spellStart"/>
      <w:r w:rsidRPr="00BE33CA">
        <w:rPr>
          <w:rFonts w:ascii="Times New Roman" w:hAnsi="Times New Roman" w:cs="Times New Roman"/>
          <w:sz w:val="24"/>
          <w:szCs w:val="24"/>
        </w:rPr>
        <w:t>from</w:t>
      </w:r>
      <w:proofErr w:type="spellEnd"/>
      <w:r w:rsidRPr="00BE33CA">
        <w:rPr>
          <w:rFonts w:ascii="Times New Roman" w:hAnsi="Times New Roman" w:cs="Times New Roman"/>
          <w:sz w:val="24"/>
          <w:szCs w:val="24"/>
        </w:rPr>
        <w:t xml:space="preserve"> </w:t>
      </w:r>
      <w:hyperlink r:id="rId18" w:history="1">
        <w:r w:rsidRPr="00BE33CA">
          <w:rPr>
            <w:rStyle w:val="Hipervnculo"/>
            <w:rFonts w:ascii="Times New Roman" w:hAnsi="Times New Roman" w:cs="Times New Roman"/>
            <w:sz w:val="24"/>
            <w:szCs w:val="24"/>
          </w:rPr>
          <w:t>https://www.patrialibros.org/book/690</w:t>
        </w:r>
      </w:hyperlink>
    </w:p>
    <w:p w14:paraId="3E888158" w14:textId="77777777" w:rsidR="001E69D3" w:rsidRPr="006C63C2" w:rsidRDefault="001E69D3" w:rsidP="00BE33CA">
      <w:pPr>
        <w:widowControl w:val="0"/>
        <w:spacing w:after="0" w:line="360" w:lineRule="auto"/>
        <w:ind w:left="720" w:hanging="720"/>
        <w:jc w:val="both"/>
        <w:rPr>
          <w:rFonts w:ascii="Times New Roman" w:hAnsi="Times New Roman" w:cs="Times New Roman"/>
          <w:sz w:val="24"/>
          <w:szCs w:val="24"/>
          <w:lang w:val="es-CU"/>
        </w:rPr>
      </w:pPr>
      <w:r w:rsidRPr="00BE33CA">
        <w:rPr>
          <w:rFonts w:ascii="Times New Roman" w:hAnsi="Times New Roman" w:cs="Times New Roman"/>
          <w:sz w:val="24"/>
          <w:szCs w:val="24"/>
        </w:rPr>
        <w:t xml:space="preserve">Medina Borges, R., Rodríguez Sánchez, Y., &amp; Reinoso </w:t>
      </w:r>
      <w:proofErr w:type="spellStart"/>
      <w:r w:rsidRPr="00BE33CA">
        <w:rPr>
          <w:rFonts w:ascii="Times New Roman" w:hAnsi="Times New Roman" w:cs="Times New Roman"/>
          <w:sz w:val="24"/>
          <w:szCs w:val="24"/>
        </w:rPr>
        <w:t>Cápiro</w:t>
      </w:r>
      <w:proofErr w:type="spellEnd"/>
      <w:r w:rsidRPr="00BE33CA">
        <w:rPr>
          <w:rFonts w:ascii="Times New Roman" w:hAnsi="Times New Roman" w:cs="Times New Roman"/>
          <w:sz w:val="24"/>
          <w:szCs w:val="24"/>
        </w:rPr>
        <w:t xml:space="preserve">, C. (2021). </w:t>
      </w:r>
      <w:r w:rsidRPr="00110F24">
        <w:rPr>
          <w:rFonts w:ascii="Times New Roman" w:hAnsi="Times New Roman" w:cs="Times New Roman"/>
          <w:i/>
          <w:iCs/>
          <w:sz w:val="24"/>
          <w:szCs w:val="24"/>
        </w:rPr>
        <w:t>Martí y Freire: Formación humana y emancipación. Experiencias desde la educación médica cubana.</w:t>
      </w:r>
      <w:r w:rsidRPr="00BE33CA">
        <w:rPr>
          <w:rFonts w:ascii="Times New Roman" w:hAnsi="Times New Roman" w:cs="Times New Roman"/>
          <w:sz w:val="24"/>
          <w:szCs w:val="24"/>
        </w:rPr>
        <w:t xml:space="preserve"> Paulo Freire. Revista De Pedagogía Crítica, (26), 95-112. </w:t>
      </w:r>
      <w:hyperlink r:id="rId19" w:history="1">
        <w:r w:rsidRPr="006C63C2">
          <w:rPr>
            <w:rStyle w:val="Hipervnculo"/>
            <w:rFonts w:ascii="Times New Roman" w:hAnsi="Times New Roman" w:cs="Times New Roman"/>
            <w:sz w:val="24"/>
            <w:szCs w:val="24"/>
            <w:lang w:val="es-CU"/>
          </w:rPr>
          <w:t>https://doi.org/10.25074/pfr.v0i26.2135</w:t>
        </w:r>
      </w:hyperlink>
    </w:p>
    <w:p w14:paraId="15D6E6E3"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Morales Aguilera, L., Arteaga González, S. Rufiana, &amp; León González, Leticia. (2023). </w:t>
      </w:r>
      <w:r w:rsidRPr="00110F24">
        <w:rPr>
          <w:rFonts w:ascii="Times New Roman" w:hAnsi="Times New Roman" w:cs="Times New Roman"/>
          <w:i/>
          <w:iCs/>
          <w:sz w:val="24"/>
          <w:szCs w:val="24"/>
        </w:rPr>
        <w:t>La concepción martiana sobre la formación de la nación en Cuba: reflexiones teóricas y metodológicas.</w:t>
      </w:r>
      <w:r w:rsidRPr="00BE33CA">
        <w:rPr>
          <w:rFonts w:ascii="Times New Roman" w:hAnsi="Times New Roman" w:cs="Times New Roman"/>
          <w:sz w:val="24"/>
          <w:szCs w:val="24"/>
        </w:rPr>
        <w:t xml:space="preserve"> Revista Cubana de Educación Superior, 42(3). </w:t>
      </w:r>
      <w:proofErr w:type="spellStart"/>
      <w:r w:rsidRPr="00BE33CA">
        <w:rPr>
          <w:rFonts w:ascii="Times New Roman" w:hAnsi="Times New Roman" w:cs="Times New Roman"/>
          <w:sz w:val="24"/>
          <w:szCs w:val="24"/>
        </w:rPr>
        <w:t>Epub</w:t>
      </w:r>
      <w:proofErr w:type="spellEnd"/>
      <w:r w:rsidRPr="00BE33CA">
        <w:rPr>
          <w:rFonts w:ascii="Times New Roman" w:hAnsi="Times New Roman" w:cs="Times New Roman"/>
          <w:sz w:val="24"/>
          <w:szCs w:val="24"/>
        </w:rPr>
        <w:t xml:space="preserve"> 30 de noviembre de 2023. Recuperado en 08 de mayo de 2025, de </w:t>
      </w:r>
      <w:hyperlink r:id="rId20" w:history="1">
        <w:r w:rsidRPr="00BE33CA">
          <w:rPr>
            <w:rStyle w:val="Hipervnculo"/>
            <w:rFonts w:ascii="Times New Roman" w:hAnsi="Times New Roman" w:cs="Times New Roman"/>
            <w:sz w:val="24"/>
            <w:szCs w:val="24"/>
          </w:rPr>
          <w:t>http://scielo.sld.cu/scielo.php?script=sci_arttext&amp;pid=S0257-43142023000300012&amp;lng=es&amp;tlng=es</w:t>
        </w:r>
      </w:hyperlink>
      <w:r w:rsidRPr="00BE33CA">
        <w:rPr>
          <w:rFonts w:ascii="Times New Roman" w:hAnsi="Times New Roman" w:cs="Times New Roman"/>
          <w:sz w:val="24"/>
          <w:szCs w:val="24"/>
        </w:rPr>
        <w:t>.</w:t>
      </w:r>
    </w:p>
    <w:p w14:paraId="706444BD"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Núñez Sanabria, Juan Evangelista, Terán Vaca, Claudio Antonio, </w:t>
      </w:r>
      <w:proofErr w:type="spellStart"/>
      <w:r w:rsidRPr="00BE33CA">
        <w:rPr>
          <w:rFonts w:ascii="Times New Roman" w:hAnsi="Times New Roman" w:cs="Times New Roman"/>
          <w:sz w:val="24"/>
          <w:szCs w:val="24"/>
        </w:rPr>
        <w:t>Sailema</w:t>
      </w:r>
      <w:proofErr w:type="spellEnd"/>
      <w:r w:rsidRPr="00BE33CA">
        <w:rPr>
          <w:rFonts w:ascii="Times New Roman" w:hAnsi="Times New Roman" w:cs="Times New Roman"/>
          <w:sz w:val="24"/>
          <w:szCs w:val="24"/>
        </w:rPr>
        <w:t xml:space="preserve"> Armijo, Juan Giovani, &amp; Silva Montoya, Oscar Fabian. (2021). </w:t>
      </w:r>
      <w:r w:rsidRPr="00110F24">
        <w:rPr>
          <w:rFonts w:ascii="Times New Roman" w:hAnsi="Times New Roman" w:cs="Times New Roman"/>
          <w:i/>
          <w:iCs/>
          <w:sz w:val="24"/>
          <w:szCs w:val="24"/>
        </w:rPr>
        <w:t>Análisis hermenéutico de los derechos de la educación en los jóvenes mediante el proceso de análisis jerárquico.</w:t>
      </w:r>
      <w:r w:rsidRPr="00BE33CA">
        <w:rPr>
          <w:rFonts w:ascii="Times New Roman" w:hAnsi="Times New Roman" w:cs="Times New Roman"/>
          <w:sz w:val="24"/>
          <w:szCs w:val="24"/>
        </w:rPr>
        <w:t xml:space="preserve"> Revista Universidad y Sociedad, 13(4), 241-248. </w:t>
      </w:r>
      <w:proofErr w:type="spellStart"/>
      <w:r w:rsidRPr="00BE33CA">
        <w:rPr>
          <w:rFonts w:ascii="Times New Roman" w:hAnsi="Times New Roman" w:cs="Times New Roman"/>
          <w:sz w:val="24"/>
          <w:szCs w:val="24"/>
        </w:rPr>
        <w:t>Epub</w:t>
      </w:r>
      <w:proofErr w:type="spellEnd"/>
      <w:r w:rsidRPr="00BE33CA">
        <w:rPr>
          <w:rFonts w:ascii="Times New Roman" w:hAnsi="Times New Roman" w:cs="Times New Roman"/>
          <w:sz w:val="24"/>
          <w:szCs w:val="24"/>
        </w:rPr>
        <w:t xml:space="preserve"> 02 de agosto de 2021. Recuperado en 08 de mayo de 2025, de </w:t>
      </w:r>
      <w:hyperlink r:id="rId21" w:history="1">
        <w:r w:rsidRPr="00BE33CA">
          <w:rPr>
            <w:rStyle w:val="Hipervnculo"/>
            <w:rFonts w:ascii="Times New Roman" w:hAnsi="Times New Roman" w:cs="Times New Roman"/>
            <w:sz w:val="24"/>
            <w:szCs w:val="24"/>
          </w:rPr>
          <w:t>http://scielo.sld.cu/scielo.php?script=sci_arttext&amp;pid=S2218-36202021000400241&amp;lng=es&amp;tlng=es</w:t>
        </w:r>
      </w:hyperlink>
      <w:r w:rsidRPr="00BE33CA">
        <w:rPr>
          <w:rFonts w:ascii="Times New Roman" w:hAnsi="Times New Roman" w:cs="Times New Roman"/>
          <w:sz w:val="24"/>
          <w:szCs w:val="24"/>
        </w:rPr>
        <w:t>.</w:t>
      </w:r>
    </w:p>
    <w:p w14:paraId="51AE024B"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 Pérez-González, D. (2023). </w:t>
      </w:r>
      <w:r w:rsidRPr="00110F24">
        <w:rPr>
          <w:rFonts w:ascii="Times New Roman" w:hAnsi="Times New Roman" w:cs="Times New Roman"/>
          <w:i/>
          <w:iCs/>
          <w:sz w:val="24"/>
          <w:szCs w:val="24"/>
        </w:rPr>
        <w:t>Potencialidades de la obra de José Martí para contribuir a la educación de la identidad nacional.</w:t>
      </w:r>
      <w:r w:rsidRPr="00BE33CA">
        <w:rPr>
          <w:rFonts w:ascii="Times New Roman" w:hAnsi="Times New Roman" w:cs="Times New Roman"/>
          <w:sz w:val="24"/>
          <w:szCs w:val="24"/>
        </w:rPr>
        <w:t xml:space="preserve"> RIIED, Revista RIIED. ISSN: e2789-3499. ISSN: 2790-2021. Nro. 7 (2023) págs. [1-11] </w:t>
      </w:r>
      <w:hyperlink r:id="rId22" w:history="1">
        <w:r w:rsidRPr="00BE33CA">
          <w:rPr>
            <w:rStyle w:val="Hipervnculo"/>
            <w:rFonts w:ascii="Times New Roman" w:hAnsi="Times New Roman" w:cs="Times New Roman"/>
            <w:sz w:val="24"/>
            <w:szCs w:val="24"/>
          </w:rPr>
          <w:t>https://www.riied.org</w:t>
        </w:r>
      </w:hyperlink>
      <w:r w:rsidRPr="00BE33CA">
        <w:rPr>
          <w:rFonts w:ascii="Times New Roman" w:hAnsi="Times New Roman" w:cs="Times New Roman"/>
          <w:sz w:val="24"/>
          <w:szCs w:val="24"/>
        </w:rPr>
        <w:t>.</w:t>
      </w:r>
    </w:p>
    <w:p w14:paraId="1BAA9DCF" w14:textId="320B563A"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  Rivero Hernández Y. (2025). </w:t>
      </w:r>
      <w:r w:rsidRPr="00110F24">
        <w:rPr>
          <w:rFonts w:ascii="Times New Roman" w:hAnsi="Times New Roman" w:cs="Times New Roman"/>
          <w:i/>
          <w:iCs/>
          <w:sz w:val="24"/>
          <w:szCs w:val="24"/>
        </w:rPr>
        <w:t>La Habana, centro del diálogo global por el equilibrio del mundo</w:t>
      </w:r>
      <w:r w:rsidRPr="00BE33CA">
        <w:rPr>
          <w:rFonts w:ascii="Times New Roman" w:hAnsi="Times New Roman" w:cs="Times New Roman"/>
          <w:sz w:val="24"/>
          <w:szCs w:val="24"/>
        </w:rPr>
        <w:t xml:space="preserve">. Periódico Granma, 25 de enero de 2025. </w:t>
      </w:r>
      <w:hyperlink r:id="rId23" w:history="1">
        <w:r w:rsidRPr="00BE33CA">
          <w:rPr>
            <w:rStyle w:val="Hipervnculo"/>
            <w:rFonts w:ascii="Times New Roman" w:hAnsi="Times New Roman" w:cs="Times New Roman"/>
            <w:sz w:val="24"/>
            <w:szCs w:val="24"/>
          </w:rPr>
          <w:t>https://www.granma.cu/cuba/2025-01-25/la-habana-centro-del-dialogo-global-por-el-equilibrio-del-mundo-25-01-2025-10-01-51</w:t>
        </w:r>
      </w:hyperlink>
    </w:p>
    <w:p w14:paraId="7B74BD53"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 xml:space="preserve">Rojas-Zavaleta, H. (2021). </w:t>
      </w:r>
      <w:r w:rsidRPr="00110F24">
        <w:rPr>
          <w:rFonts w:ascii="Times New Roman" w:hAnsi="Times New Roman" w:cs="Times New Roman"/>
          <w:i/>
          <w:iCs/>
          <w:sz w:val="24"/>
          <w:szCs w:val="24"/>
        </w:rPr>
        <w:t>Liderazgo pedagógico y su impacto en el desarrollo del pensamiento crítico</w:t>
      </w:r>
      <w:r w:rsidRPr="00BE33CA">
        <w:rPr>
          <w:rFonts w:ascii="Times New Roman" w:hAnsi="Times New Roman" w:cs="Times New Roman"/>
          <w:sz w:val="24"/>
          <w:szCs w:val="24"/>
        </w:rPr>
        <w:t>: Array. Maestro Y Sociedad, 18(4), 1309–1320. Recuperado a partir de https://maestroysociedad.uo.edu.cu/index.php/MyS/article/view/5416</w:t>
      </w:r>
    </w:p>
    <w:p w14:paraId="48902305" w14:textId="76371795"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t>Vázquez Pérez M. (2021). “</w:t>
      </w:r>
      <w:r w:rsidR="00110F24" w:rsidRPr="00110F24">
        <w:rPr>
          <w:rFonts w:ascii="Times New Roman" w:hAnsi="Times New Roman" w:cs="Times New Roman"/>
          <w:i/>
          <w:iCs/>
          <w:sz w:val="24"/>
          <w:szCs w:val="24"/>
        </w:rPr>
        <w:t xml:space="preserve">nuestra américa” de </w:t>
      </w:r>
      <w:proofErr w:type="spellStart"/>
      <w:r w:rsidR="00110F24" w:rsidRPr="00110F24">
        <w:rPr>
          <w:rFonts w:ascii="Times New Roman" w:hAnsi="Times New Roman" w:cs="Times New Roman"/>
          <w:i/>
          <w:iCs/>
          <w:sz w:val="24"/>
          <w:szCs w:val="24"/>
        </w:rPr>
        <w:t>josé</w:t>
      </w:r>
      <w:proofErr w:type="spellEnd"/>
      <w:r w:rsidR="00110F24" w:rsidRPr="00110F24">
        <w:rPr>
          <w:rFonts w:ascii="Times New Roman" w:hAnsi="Times New Roman" w:cs="Times New Roman"/>
          <w:i/>
          <w:iCs/>
          <w:sz w:val="24"/>
          <w:szCs w:val="24"/>
        </w:rPr>
        <w:t xml:space="preserve"> martí, una relectura necesaria a 130 años de su primera edición.</w:t>
      </w:r>
      <w:r w:rsidR="00110F24" w:rsidRPr="00BE33CA">
        <w:rPr>
          <w:rFonts w:ascii="Times New Roman" w:hAnsi="Times New Roman" w:cs="Times New Roman"/>
          <w:sz w:val="24"/>
          <w:szCs w:val="24"/>
        </w:rPr>
        <w:t xml:space="preserve">  </w:t>
      </w:r>
      <w:hyperlink r:id="rId24" w:history="1">
        <w:r w:rsidRPr="00BE33CA">
          <w:rPr>
            <w:rStyle w:val="Hipervnculo"/>
            <w:rFonts w:ascii="Times New Roman" w:hAnsi="Times New Roman" w:cs="Times New Roman"/>
            <w:sz w:val="24"/>
            <w:szCs w:val="24"/>
          </w:rPr>
          <w:t>https://www.lajiribilla.cu/nuestra-america-de-jose-marti-una-relectura-necesaria-a-130-anos-de-su-primera-edicion/</w:t>
        </w:r>
      </w:hyperlink>
    </w:p>
    <w:p w14:paraId="5C9C590C"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hAnsi="Times New Roman" w:cs="Times New Roman"/>
          <w:sz w:val="24"/>
          <w:szCs w:val="24"/>
        </w:rPr>
        <w:lastRenderedPageBreak/>
        <w:t xml:space="preserve">Weinberg, Gregorio. (2020). </w:t>
      </w:r>
      <w:r w:rsidRPr="00110F24">
        <w:rPr>
          <w:rFonts w:ascii="Times New Roman" w:hAnsi="Times New Roman" w:cs="Times New Roman"/>
          <w:i/>
          <w:iCs/>
          <w:sz w:val="24"/>
          <w:szCs w:val="24"/>
        </w:rPr>
        <w:t>Modelos educativos en América Latina</w:t>
      </w:r>
      <w:r w:rsidRPr="00BE33CA">
        <w:rPr>
          <w:rFonts w:ascii="Times New Roman" w:hAnsi="Times New Roman" w:cs="Times New Roman"/>
          <w:sz w:val="24"/>
          <w:szCs w:val="24"/>
        </w:rPr>
        <w:t xml:space="preserve">/ Gregorio Weinberg; prefacio de Nicolás Arata; Inés Dussel; Pablo Pineau. - 1a ed. - Ciudad Autónoma de Buenos Aires: CLACSO; UNIPE: Editorial Universitaria, 2020. Libro digital, PDF. ISBN 978-987-722-744-4.  </w:t>
      </w:r>
      <w:hyperlink r:id="rId25" w:history="1">
        <w:r w:rsidRPr="00BE33CA">
          <w:rPr>
            <w:rStyle w:val="Hipervnculo"/>
            <w:rFonts w:ascii="Times New Roman" w:hAnsi="Times New Roman" w:cs="Times New Roman"/>
            <w:sz w:val="24"/>
            <w:szCs w:val="24"/>
          </w:rPr>
          <w:t>https://biblioteca.clacso.edu.ar/clacso/se/20201111054036/Modelos-educativos.pdf</w:t>
        </w:r>
      </w:hyperlink>
    </w:p>
    <w:p w14:paraId="75110037" w14:textId="77777777" w:rsidR="001E69D3" w:rsidRPr="00BE33CA" w:rsidRDefault="001E69D3" w:rsidP="00BE33CA">
      <w:pPr>
        <w:widowControl w:val="0"/>
        <w:spacing w:after="0" w:line="360" w:lineRule="auto"/>
        <w:ind w:left="720" w:hanging="720"/>
        <w:jc w:val="both"/>
        <w:rPr>
          <w:rFonts w:ascii="Times New Roman" w:eastAsia="Times New Roman" w:hAnsi="Times New Roman" w:cs="Times New Roman"/>
          <w:b/>
          <w:sz w:val="24"/>
          <w:szCs w:val="24"/>
          <w:lang w:eastAsia="es-ES"/>
        </w:rPr>
      </w:pPr>
    </w:p>
    <w:p w14:paraId="28423C89" w14:textId="77777777" w:rsidR="001E69D3" w:rsidRPr="00BE33CA" w:rsidRDefault="001E69D3" w:rsidP="00BE33CA">
      <w:pPr>
        <w:widowControl w:val="0"/>
        <w:spacing w:after="0" w:line="360" w:lineRule="auto"/>
        <w:ind w:left="720" w:hanging="720"/>
        <w:jc w:val="both"/>
        <w:rPr>
          <w:rFonts w:ascii="Times New Roman" w:hAnsi="Times New Roman" w:cs="Times New Roman"/>
          <w:sz w:val="24"/>
          <w:szCs w:val="24"/>
        </w:rPr>
      </w:pPr>
      <w:r w:rsidRPr="00BE33CA">
        <w:rPr>
          <w:rFonts w:ascii="Times New Roman" w:eastAsia="Times New Roman" w:hAnsi="Times New Roman" w:cs="Times New Roman"/>
          <w:b/>
          <w:sz w:val="24"/>
          <w:szCs w:val="24"/>
          <w:lang w:eastAsia="es-ES"/>
        </w:rPr>
        <w:t xml:space="preserve">DECLARACIÓN DE CONFLICTO Y CONTRIBUCIÓN DE LOS AUTORES </w:t>
      </w:r>
    </w:p>
    <w:p w14:paraId="101925AB" w14:textId="77777777" w:rsidR="001E69D3" w:rsidRPr="00BE33CA" w:rsidRDefault="001E69D3" w:rsidP="00BE33CA">
      <w:pPr>
        <w:widowControl w:val="0"/>
        <w:spacing w:after="0" w:line="360" w:lineRule="auto"/>
        <w:jc w:val="both"/>
        <w:rPr>
          <w:rFonts w:ascii="Times New Roman" w:eastAsia="Times New Roman" w:hAnsi="Times New Roman" w:cs="Times New Roman"/>
          <w:bCs/>
          <w:sz w:val="24"/>
          <w:szCs w:val="24"/>
          <w:lang w:eastAsia="es-ES"/>
        </w:rPr>
      </w:pPr>
      <w:r w:rsidRPr="00BE33CA">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2FC6D90E" w14:textId="77777777" w:rsidR="001E69D3" w:rsidRPr="00BE33CA" w:rsidRDefault="001E69D3" w:rsidP="00BE33CA">
      <w:pPr>
        <w:spacing w:line="360" w:lineRule="auto"/>
        <w:rPr>
          <w:rFonts w:ascii="Times New Roman" w:hAnsi="Times New Roman" w:cs="Times New Roman"/>
          <w:sz w:val="24"/>
          <w:szCs w:val="24"/>
        </w:rPr>
      </w:pPr>
      <w:r w:rsidRPr="00BE33CA">
        <w:rPr>
          <w:rFonts w:ascii="Times New Roman" w:hAnsi="Times New Roman" w:cs="Times New Roman"/>
          <w:sz w:val="24"/>
          <w:szCs w:val="24"/>
        </w:rPr>
        <w:t xml:space="preserve">Caridad </w:t>
      </w:r>
      <w:proofErr w:type="spellStart"/>
      <w:r w:rsidRPr="00BE33CA">
        <w:rPr>
          <w:rFonts w:ascii="Times New Roman" w:hAnsi="Times New Roman" w:cs="Times New Roman"/>
          <w:sz w:val="24"/>
          <w:szCs w:val="24"/>
        </w:rPr>
        <w:t>Meyvis</w:t>
      </w:r>
      <w:proofErr w:type="spellEnd"/>
      <w:r w:rsidRPr="00BE33CA">
        <w:rPr>
          <w:rFonts w:ascii="Times New Roman" w:hAnsi="Times New Roman" w:cs="Times New Roman"/>
          <w:sz w:val="24"/>
          <w:szCs w:val="24"/>
        </w:rPr>
        <w:t xml:space="preserve"> Estévez Echevarría</w:t>
      </w:r>
      <w:r w:rsidRPr="00BE33CA">
        <w:rPr>
          <w:rFonts w:ascii="Times New Roman" w:eastAsia="Times New Roman" w:hAnsi="Times New Roman" w:cs="Times New Roman"/>
          <w:bCs/>
          <w:sz w:val="24"/>
          <w:szCs w:val="24"/>
          <w:lang w:eastAsia="es-ES"/>
        </w:rPr>
        <w:t>: Conceptualización, conservación de datos, análisis formal, investigación, metodología, visualización, redacción borrador original, redacción revisión y edición, validación.</w:t>
      </w:r>
    </w:p>
    <w:p w14:paraId="7A81AFF2" w14:textId="77777777" w:rsidR="001E69D3" w:rsidRPr="00BE33CA" w:rsidRDefault="001E69D3" w:rsidP="00BE33CA">
      <w:pPr>
        <w:spacing w:line="360" w:lineRule="auto"/>
        <w:rPr>
          <w:rFonts w:ascii="Times New Roman" w:hAnsi="Times New Roman" w:cs="Times New Roman"/>
          <w:sz w:val="24"/>
          <w:szCs w:val="24"/>
        </w:rPr>
      </w:pPr>
      <w:r w:rsidRPr="00BE33CA">
        <w:rPr>
          <w:rFonts w:ascii="Times New Roman" w:hAnsi="Times New Roman" w:cs="Times New Roman"/>
          <w:sz w:val="24"/>
          <w:szCs w:val="24"/>
        </w:rPr>
        <w:t>Keyla Rosa Estévez García y Leonardo Pérez Lemus:</w:t>
      </w:r>
      <w:r w:rsidRPr="00BE33CA">
        <w:rPr>
          <w:rFonts w:ascii="Times New Roman" w:eastAsia="Times New Roman" w:hAnsi="Times New Roman" w:cs="Times New Roman"/>
          <w:bCs/>
          <w:sz w:val="24"/>
          <w:szCs w:val="24"/>
          <w:lang w:eastAsia="es-ES"/>
        </w:rPr>
        <w:t xml:space="preserve"> investigación, redacción, revisión y edición.</w:t>
      </w:r>
    </w:p>
    <w:p w14:paraId="5C47CA27" w14:textId="77777777" w:rsidR="009E7123" w:rsidRPr="00BE33CA" w:rsidRDefault="001E69D3" w:rsidP="00BE33CA">
      <w:pPr>
        <w:widowControl w:val="0"/>
        <w:spacing w:line="360" w:lineRule="auto"/>
        <w:jc w:val="both"/>
        <w:rPr>
          <w:rFonts w:ascii="Times New Roman" w:hAnsi="Times New Roman" w:cs="Times New Roman"/>
          <w:sz w:val="24"/>
          <w:szCs w:val="24"/>
        </w:rPr>
      </w:pPr>
      <w:proofErr w:type="spellStart"/>
      <w:r w:rsidRPr="00BE33CA">
        <w:rPr>
          <w:rFonts w:ascii="Times New Roman" w:eastAsia="Times New Roman" w:hAnsi="Times New Roman" w:cs="Times New Roman"/>
          <w:bCs/>
          <w:sz w:val="24"/>
          <w:szCs w:val="24"/>
          <w:lang w:eastAsia="es-ES"/>
        </w:rPr>
        <w:t>Gretell</w:t>
      </w:r>
      <w:proofErr w:type="spellEnd"/>
      <w:r w:rsidRPr="00BE33CA">
        <w:rPr>
          <w:rFonts w:ascii="Times New Roman" w:eastAsia="Times New Roman" w:hAnsi="Times New Roman" w:cs="Times New Roman"/>
          <w:bCs/>
          <w:sz w:val="24"/>
          <w:szCs w:val="24"/>
          <w:lang w:eastAsia="es-ES"/>
        </w:rPr>
        <w:t xml:space="preserve"> Centurión Hurtado: Redacción – revisión y edición – Supervisión, Preparación, creación y/o presentación del trabajo publicado por parte del grupo de investigación original.</w:t>
      </w:r>
      <w:r w:rsidRPr="00BE33CA">
        <w:rPr>
          <w:rFonts w:ascii="Times New Roman" w:hAnsi="Times New Roman" w:cs="Times New Roman"/>
          <w:sz w:val="24"/>
          <w:szCs w:val="24"/>
        </w:rPr>
        <w:tab/>
      </w:r>
    </w:p>
    <w:sectPr w:rsidR="009E7123" w:rsidRPr="00BE33CA" w:rsidSect="00AC5A97">
      <w:headerReference w:type="default" r:id="rId26"/>
      <w:footerReference w:type="default" r:id="rId27"/>
      <w:pgSz w:w="12240" w:h="15840"/>
      <w:pgMar w:top="1134" w:right="1134" w:bottom="1134" w:left="1134" w:header="811" w:footer="454"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8E10" w14:textId="77777777" w:rsidR="00AF7E77" w:rsidRDefault="00AF7E77">
      <w:pPr>
        <w:spacing w:after="0" w:line="240" w:lineRule="auto"/>
      </w:pPr>
      <w:r>
        <w:separator/>
      </w:r>
    </w:p>
  </w:endnote>
  <w:endnote w:type="continuationSeparator" w:id="0">
    <w:p w14:paraId="095245B4" w14:textId="77777777" w:rsidR="00AF7E77" w:rsidRDefault="00AF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4068AE5"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5923ADC4" w14:textId="77777777" w:rsidR="00000000" w:rsidRPr="00424BC2" w:rsidRDefault="001E69D3" w:rsidP="007C1741">
          <w:pPr>
            <w:rPr>
              <w:b/>
              <w:color w:val="FFFFFF" w:themeColor="background1"/>
            </w:rPr>
          </w:pPr>
          <w:r>
            <w:rPr>
              <w:noProof/>
              <w:lang w:val="es-CU" w:eastAsia="es-CU"/>
            </w:rPr>
            <w:drawing>
              <wp:inline distT="0" distB="0" distL="0" distR="0" wp14:anchorId="5C92DB24" wp14:editId="08EDEBE4">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8CE0AEC" w14:textId="77777777" w:rsidR="00000000" w:rsidRPr="006C63C2" w:rsidRDefault="001E69D3" w:rsidP="007C1741">
          <w:pPr>
            <w:rPr>
              <w:color w:val="FFFFFF" w:themeColor="background1"/>
              <w:sz w:val="20"/>
              <w:lang w:val="es-CU"/>
            </w:rPr>
          </w:pPr>
          <w:r w:rsidRPr="006C63C2">
            <w:rPr>
              <w:color w:val="FFFFFF" w:themeColor="background1"/>
              <w:sz w:val="20"/>
              <w:lang w:val="es-CU"/>
            </w:rPr>
            <w:t xml:space="preserve">Artículo de acceso abierto distribuido bajo los términos de la licencia Creative Commons. </w:t>
          </w:r>
        </w:p>
        <w:p w14:paraId="2385EDF5" w14:textId="77777777" w:rsidR="00000000" w:rsidRPr="006C63C2" w:rsidRDefault="001E69D3" w:rsidP="007C1741">
          <w:pPr>
            <w:rPr>
              <w:b/>
              <w:color w:val="FFFFFF" w:themeColor="background1"/>
              <w:lang w:val="es-CU"/>
            </w:rPr>
          </w:pPr>
          <w:r w:rsidRPr="006C63C2">
            <w:rPr>
              <w:color w:val="FFFFFF" w:themeColor="background1"/>
              <w:sz w:val="20"/>
              <w:lang w:val="es-CU"/>
            </w:rPr>
            <w:t>Reconocimiento-NoComercial 4.0 Internacional (CC BY-NC 4.0)</w:t>
          </w:r>
        </w:p>
      </w:tc>
    </w:tr>
    <w:tr w:rsidR="007C1741" w14:paraId="53038A9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A0B6A8D" w14:textId="77777777" w:rsidR="00000000" w:rsidRPr="006C63C2" w:rsidRDefault="001E69D3" w:rsidP="007C1741">
          <w:pPr>
            <w:jc w:val="center"/>
            <w:rPr>
              <w:color w:val="FFFFFF" w:themeColor="background1"/>
              <w:sz w:val="20"/>
              <w:lang w:val="es-CU"/>
            </w:rPr>
          </w:pPr>
          <w:r w:rsidRPr="006C63C2">
            <w:rPr>
              <w:color w:val="833C0B" w:themeColor="accent2" w:themeShade="80"/>
              <w:sz w:val="20"/>
              <w:lang w:val="es-CU"/>
            </w:rPr>
            <w:t>Calle 41 No. 3406 e/34 y 36 Playa, La Habana, Cuba.    /   revista@iccp.rimed.cu   /   www.cienciaspedagogicas.rimed.cu</w:t>
          </w:r>
        </w:p>
      </w:tc>
    </w:tr>
  </w:tbl>
  <w:p w14:paraId="2D9F6CA6" w14:textId="77777777" w:rsidR="00000000" w:rsidRDefault="001E69D3" w:rsidP="00AC5A97">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0A5E75">
      <w:rPr>
        <w:caps/>
        <w:noProof/>
        <w:color w:val="5B9BD5" w:themeColor="accent1"/>
      </w:rPr>
      <w:t>3</w:t>
    </w:r>
    <w:r>
      <w:rPr>
        <w:caps/>
        <w:color w:val="5B9BD5" w:themeColor="accent1"/>
      </w:rPr>
      <w:fldChar w:fldCharType="end"/>
    </w:r>
  </w:p>
  <w:p w14:paraId="5817E19D"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696CF" w14:textId="77777777" w:rsidR="00AF7E77" w:rsidRDefault="00AF7E77">
      <w:pPr>
        <w:spacing w:after="0" w:line="240" w:lineRule="auto"/>
      </w:pPr>
      <w:r>
        <w:separator/>
      </w:r>
    </w:p>
  </w:footnote>
  <w:footnote w:type="continuationSeparator" w:id="0">
    <w:p w14:paraId="3AF5ECDC" w14:textId="77777777" w:rsidR="00AF7E77" w:rsidRDefault="00AF7E77">
      <w:pPr>
        <w:spacing w:after="0" w:line="240" w:lineRule="auto"/>
      </w:pPr>
      <w:r>
        <w:continuationSeparator/>
      </w:r>
    </w:p>
  </w:footnote>
  <w:footnote w:id="1">
    <w:p w14:paraId="2F8D45A4" w14:textId="3EA8685C" w:rsidR="00202A16" w:rsidRDefault="00202A16">
      <w:pPr>
        <w:pStyle w:val="Textonotapie"/>
      </w:pPr>
      <w:r>
        <w:rPr>
          <w:rStyle w:val="Refdenotaalpie"/>
        </w:rPr>
        <w:footnoteRef/>
      </w:r>
      <w:r>
        <w:t xml:space="preserve"> Secretaria Nacional de la Unión de Jóvenes Comunistas </w:t>
      </w:r>
    </w:p>
  </w:footnote>
  <w:footnote w:id="2">
    <w:p w14:paraId="02866386" w14:textId="1F416D67" w:rsidR="00202A16" w:rsidRDefault="00202A16">
      <w:pPr>
        <w:pStyle w:val="Textonotapie"/>
      </w:pPr>
      <w:r>
        <w:rPr>
          <w:rStyle w:val="Refdenotaalpie"/>
        </w:rPr>
        <w:footnoteRef/>
      </w:r>
      <w:r>
        <w:t xml:space="preserve"> Directora del Centro de Estudios de la Juventud. </w:t>
      </w:r>
    </w:p>
  </w:footnote>
  <w:footnote w:id="3">
    <w:p w14:paraId="1503AA37" w14:textId="36C864F8" w:rsidR="00202A16" w:rsidRDefault="00202A16">
      <w:pPr>
        <w:pStyle w:val="Textonotapie"/>
      </w:pPr>
      <w:r>
        <w:rPr>
          <w:rStyle w:val="Refdenotaalpie"/>
        </w:rPr>
        <w:footnoteRef/>
      </w:r>
      <w:r>
        <w:t xml:space="preserve"> Profesora</w:t>
      </w:r>
      <w:r w:rsidR="00C1188F">
        <w:t xml:space="preserve"> e investigadora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AC5A97" w:rsidRPr="00AC5A97" w14:paraId="420C3E16" w14:textId="77777777" w:rsidTr="00153403">
      <w:tc>
        <w:tcPr>
          <w:tcW w:w="5382" w:type="dxa"/>
          <w:tcMar>
            <w:top w:w="72" w:type="dxa"/>
            <w:left w:w="115" w:type="dxa"/>
            <w:bottom w:w="72" w:type="dxa"/>
            <w:right w:w="115" w:type="dxa"/>
          </w:tcMar>
          <w:vAlign w:val="center"/>
        </w:tcPr>
        <w:p w14:paraId="7AD97B78" w14:textId="77777777" w:rsidR="00AC5A97" w:rsidRPr="00AC5A97" w:rsidRDefault="00AC5A97" w:rsidP="00AC5A97">
          <w:pPr>
            <w:jc w:val="center"/>
            <w:rPr>
              <w:rFonts w:ascii="Arial" w:eastAsia="Calibri" w:hAnsi="Arial" w:cs="Arial"/>
              <w:b/>
              <w:sz w:val="28"/>
              <w:szCs w:val="24"/>
            </w:rPr>
          </w:pPr>
          <w:bookmarkStart w:id="0" w:name="_Hlk200102621"/>
          <w:r w:rsidRPr="00AC5A97">
            <w:rPr>
              <w:rFonts w:ascii="Calibri" w:eastAsia="Calibri" w:hAnsi="Calibri" w:cs="Times New Roman"/>
              <w:noProof/>
              <w:lang w:val="es-CU" w:eastAsia="es-CU"/>
            </w:rPr>
            <w:drawing>
              <wp:inline distT="0" distB="0" distL="0" distR="0" wp14:anchorId="6AB6A084" wp14:editId="7B38CF93">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462AE06" w14:textId="77777777" w:rsidR="00AC5A97" w:rsidRPr="00AC5A97" w:rsidRDefault="00AC5A97" w:rsidP="00AC5A97">
          <w:pPr>
            <w:jc w:val="center"/>
            <w:rPr>
              <w:rFonts w:ascii="Calibri" w:eastAsia="Calibri" w:hAnsi="Calibri" w:cs="Times New Roman"/>
              <w:b/>
              <w:color w:val="FFFFFF"/>
              <w:sz w:val="18"/>
              <w:szCs w:val="18"/>
              <w:lang w:val="es-CU"/>
            </w:rPr>
          </w:pPr>
          <w:r w:rsidRPr="00AC5A97">
            <w:rPr>
              <w:rFonts w:ascii="Calibri" w:eastAsia="Calibri" w:hAnsi="Calibri" w:cs="Times New Roman"/>
              <w:b/>
              <w:color w:val="FFFFFF"/>
              <w:sz w:val="18"/>
              <w:szCs w:val="18"/>
              <w:lang w:val="es-CU"/>
            </w:rPr>
            <w:t>ISSN: 1605 – 5888    RNPS: 1844</w:t>
          </w:r>
        </w:p>
        <w:p w14:paraId="58BAC05E" w14:textId="77777777" w:rsidR="00AC5A97" w:rsidRPr="00AC5A97" w:rsidRDefault="00AC5A97" w:rsidP="00AC5A97">
          <w:pPr>
            <w:jc w:val="center"/>
            <w:rPr>
              <w:rFonts w:ascii="Calibri" w:eastAsia="Calibri" w:hAnsi="Calibri" w:cs="Times New Roman"/>
              <w:b/>
              <w:color w:val="FFFFFF"/>
              <w:sz w:val="18"/>
              <w:szCs w:val="18"/>
              <w:lang w:val="es-CU"/>
            </w:rPr>
          </w:pPr>
          <w:r w:rsidRPr="00AC5A97">
            <w:rPr>
              <w:rFonts w:ascii="Calibri" w:eastAsia="Calibri" w:hAnsi="Calibri" w:cs="Times New Roman"/>
              <w:b/>
              <w:color w:val="FFFFFF"/>
              <w:sz w:val="18"/>
              <w:szCs w:val="18"/>
              <w:lang w:val="es-CU"/>
            </w:rPr>
            <w:t xml:space="preserve">V.18. No.2 (mayo-agosto) Año 2025, 4ta Etapa </w:t>
          </w:r>
        </w:p>
        <w:p w14:paraId="0F72CC17" w14:textId="0AC82F0D" w:rsidR="00AC5A97" w:rsidRPr="00AC5A97" w:rsidRDefault="00AC5A97" w:rsidP="00AC5A97">
          <w:pPr>
            <w:jc w:val="center"/>
            <w:rPr>
              <w:rFonts w:ascii="Arial" w:eastAsia="Calibri" w:hAnsi="Arial" w:cs="Arial"/>
              <w:b/>
              <w:sz w:val="28"/>
              <w:szCs w:val="24"/>
            </w:rPr>
          </w:pPr>
          <w:proofErr w:type="spellStart"/>
          <w:r w:rsidRPr="00AC5A97">
            <w:rPr>
              <w:rFonts w:ascii="Calibri" w:eastAsia="Calibri" w:hAnsi="Calibri" w:cs="Times New Roman"/>
              <w:b/>
              <w:color w:val="FFFFFF"/>
              <w:sz w:val="18"/>
              <w:szCs w:val="18"/>
            </w:rPr>
            <w:t>Págs</w:t>
          </w:r>
          <w:proofErr w:type="spellEnd"/>
          <w:r w:rsidRPr="00AC5A97">
            <w:rPr>
              <w:rFonts w:ascii="Calibri" w:eastAsia="Calibri" w:hAnsi="Calibri" w:cs="Times New Roman"/>
              <w:b/>
              <w:color w:val="FFFFFF"/>
              <w:sz w:val="18"/>
              <w:szCs w:val="18"/>
            </w:rPr>
            <w:t xml:space="preserve">. </w:t>
          </w:r>
          <w:r>
            <w:rPr>
              <w:rFonts w:ascii="Calibri" w:eastAsia="Calibri" w:hAnsi="Calibri" w:cs="Times New Roman"/>
              <w:b/>
              <w:color w:val="FFFFFF"/>
              <w:sz w:val="18"/>
              <w:szCs w:val="18"/>
              <w:lang w:val="es-ES"/>
            </w:rPr>
            <w:t>47-59</w:t>
          </w:r>
        </w:p>
      </w:tc>
    </w:tr>
    <w:bookmarkEnd w:id="0"/>
  </w:tbl>
  <w:p w14:paraId="4D35E37A"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42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D3"/>
    <w:rsid w:val="00043A9D"/>
    <w:rsid w:val="000A5E75"/>
    <w:rsid w:val="00110F24"/>
    <w:rsid w:val="001E69D3"/>
    <w:rsid w:val="00202A16"/>
    <w:rsid w:val="00480F4C"/>
    <w:rsid w:val="005C1833"/>
    <w:rsid w:val="006C63C2"/>
    <w:rsid w:val="00806137"/>
    <w:rsid w:val="009E7123"/>
    <w:rsid w:val="00A16B09"/>
    <w:rsid w:val="00AC5A97"/>
    <w:rsid w:val="00AF7E77"/>
    <w:rsid w:val="00BE33CA"/>
    <w:rsid w:val="00C1188F"/>
    <w:rsid w:val="00D945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4E50"/>
  <w15:chartTrackingRefBased/>
  <w15:docId w15:val="{5B4D944B-2BF6-4AB1-9099-36A7B620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9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E69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E69D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69D3"/>
  </w:style>
  <w:style w:type="paragraph" w:styleId="Piedepgina">
    <w:name w:val="footer"/>
    <w:basedOn w:val="Normal"/>
    <w:link w:val="PiedepginaCar"/>
    <w:uiPriority w:val="99"/>
    <w:unhideWhenUsed/>
    <w:rsid w:val="001E69D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69D3"/>
  </w:style>
  <w:style w:type="character" w:styleId="Hipervnculo">
    <w:name w:val="Hyperlink"/>
    <w:basedOn w:val="Fuentedeprrafopredeter"/>
    <w:uiPriority w:val="99"/>
    <w:rsid w:val="001E69D3"/>
    <w:rPr>
      <w:color w:val="0563C1"/>
      <w:u w:val="single"/>
    </w:rPr>
  </w:style>
  <w:style w:type="character" w:styleId="Refdecomentario">
    <w:name w:val="annotation reference"/>
    <w:basedOn w:val="Fuentedeprrafopredeter"/>
    <w:uiPriority w:val="99"/>
    <w:semiHidden/>
    <w:unhideWhenUsed/>
    <w:rsid w:val="001E69D3"/>
    <w:rPr>
      <w:sz w:val="16"/>
      <w:szCs w:val="16"/>
    </w:rPr>
  </w:style>
  <w:style w:type="paragraph" w:styleId="Textocomentario">
    <w:name w:val="annotation text"/>
    <w:basedOn w:val="Normal"/>
    <w:link w:val="TextocomentarioCar"/>
    <w:uiPriority w:val="99"/>
    <w:semiHidden/>
    <w:unhideWhenUsed/>
    <w:rsid w:val="001E69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69D3"/>
    <w:rPr>
      <w:sz w:val="20"/>
      <w:szCs w:val="20"/>
    </w:rPr>
  </w:style>
  <w:style w:type="paragraph" w:styleId="Asuntodelcomentario">
    <w:name w:val="annotation subject"/>
    <w:basedOn w:val="Textocomentario"/>
    <w:next w:val="Textocomentario"/>
    <w:link w:val="AsuntodelcomentarioCar"/>
    <w:uiPriority w:val="99"/>
    <w:semiHidden/>
    <w:unhideWhenUsed/>
    <w:rsid w:val="001E69D3"/>
    <w:rPr>
      <w:b/>
      <w:bCs/>
    </w:rPr>
  </w:style>
  <w:style w:type="character" w:customStyle="1" w:styleId="AsuntodelcomentarioCar">
    <w:name w:val="Asunto del comentario Car"/>
    <w:basedOn w:val="TextocomentarioCar"/>
    <w:link w:val="Asuntodelcomentario"/>
    <w:uiPriority w:val="99"/>
    <w:semiHidden/>
    <w:rsid w:val="001E69D3"/>
    <w:rPr>
      <w:b/>
      <w:bCs/>
      <w:sz w:val="20"/>
      <w:szCs w:val="20"/>
    </w:rPr>
  </w:style>
  <w:style w:type="paragraph" w:styleId="Textodeglobo">
    <w:name w:val="Balloon Text"/>
    <w:basedOn w:val="Normal"/>
    <w:link w:val="TextodegloboCar"/>
    <w:uiPriority w:val="99"/>
    <w:semiHidden/>
    <w:unhideWhenUsed/>
    <w:rsid w:val="001E69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69D3"/>
    <w:rPr>
      <w:rFonts w:ascii="Segoe UI" w:hAnsi="Segoe UI" w:cs="Segoe UI"/>
      <w:sz w:val="18"/>
      <w:szCs w:val="18"/>
    </w:rPr>
  </w:style>
  <w:style w:type="paragraph" w:styleId="Textonotapie">
    <w:name w:val="footnote text"/>
    <w:basedOn w:val="Normal"/>
    <w:link w:val="TextonotapieCar"/>
    <w:uiPriority w:val="99"/>
    <w:semiHidden/>
    <w:unhideWhenUsed/>
    <w:rsid w:val="00202A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2A16"/>
    <w:rPr>
      <w:sz w:val="20"/>
      <w:szCs w:val="20"/>
    </w:rPr>
  </w:style>
  <w:style w:type="character" w:styleId="Refdenotaalpie">
    <w:name w:val="footnote reference"/>
    <w:basedOn w:val="Fuentedeprrafopredeter"/>
    <w:uiPriority w:val="99"/>
    <w:semiHidden/>
    <w:unhideWhenUsed/>
    <w:rsid w:val="00202A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articulo.oa?id=475768571007" TargetMode="External"/><Relationship Id="rId13" Type="http://schemas.openxmlformats.org/officeDocument/2006/relationships/hyperlink" Target="https://doi.org/10.1177/15586898241253892" TargetMode="External"/><Relationship Id="rId18" Type="http://schemas.openxmlformats.org/officeDocument/2006/relationships/hyperlink" Target="https://www.patrialibros.org/book/69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ielo.sld.cu/scielo.php?script=sci_arttext&amp;pid=S2218-36202021000400241&amp;lng=es&amp;tlng=es" TargetMode="External"/><Relationship Id="rId7" Type="http://schemas.openxmlformats.org/officeDocument/2006/relationships/endnotes" Target="endnotes.xml"/><Relationship Id="rId12" Type="http://schemas.openxmlformats.org/officeDocument/2006/relationships/hyperlink" Target="https://doi.org/10.1080/07481756.2024.2303715" TargetMode="External"/><Relationship Id="rId17" Type="http://schemas.openxmlformats.org/officeDocument/2006/relationships/hyperlink" Target="https://www.juventudrebelde.cu/cuba/2024-09-02/la-naturaleza-es-nuestro-hogar-cuidemosla" TargetMode="External"/><Relationship Id="rId25" Type="http://schemas.openxmlformats.org/officeDocument/2006/relationships/hyperlink" Target="https://biblioteca.clacso.edu.ar/clacso/se/20201111054036/Modelos-educativos.pdf" TargetMode="External"/><Relationship Id="rId2" Type="http://schemas.openxmlformats.org/officeDocument/2006/relationships/numbering" Target="numbering.xml"/><Relationship Id="rId16" Type="http://schemas.openxmlformats.org/officeDocument/2006/relationships/hyperlink" Target="https://doi.org/10.5688/ajpe7120" TargetMode="External"/><Relationship Id="rId20" Type="http://schemas.openxmlformats.org/officeDocument/2006/relationships/hyperlink" Target="http://scielo.sld.cu/scielo.php?script=sci_arttext&amp;pid=S0257-43142023000300012&amp;lng=es&amp;tln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8079/15ow" TargetMode="External"/><Relationship Id="rId24" Type="http://schemas.openxmlformats.org/officeDocument/2006/relationships/hyperlink" Target="https://www.lajiribilla.cu/nuestra-america-de-jose-marti-una-relectura-necesaria-a-130-anos-de-su-primera-edicion/" TargetMode="External"/><Relationship Id="rId5" Type="http://schemas.openxmlformats.org/officeDocument/2006/relationships/webSettings" Target="webSettings.xml"/><Relationship Id="rId15" Type="http://schemas.openxmlformats.org/officeDocument/2006/relationships/hyperlink" Target="https://www.sigloxxieditores.com/libro/pedagogia-del-oprimido_53586/" TargetMode="External"/><Relationship Id="rId23" Type="http://schemas.openxmlformats.org/officeDocument/2006/relationships/hyperlink" Target="https://www.granma.cu/cuba/2025-01-25/la-habana-centro-del-dialogo-global-por-el-equilibrio-del-mundo-25-01-2025-10-01-51" TargetMode="External"/><Relationship Id="rId28" Type="http://schemas.openxmlformats.org/officeDocument/2006/relationships/fontTable" Target="fontTable.xml"/><Relationship Id="rId10" Type="http://schemas.openxmlformats.org/officeDocument/2006/relationships/hyperlink" Target="https://repository.uniminuto.edu/server/api/core/bitstreams/e47ec527-f40c-41bf-91a7-25930ed426fa/content" TargetMode="External"/><Relationship Id="rId19" Type="http://schemas.openxmlformats.org/officeDocument/2006/relationships/hyperlink" Target="https://doi.org/10.25074/pfr.v0i26.2135" TargetMode="External"/><Relationship Id="rId4" Type="http://schemas.openxmlformats.org/officeDocument/2006/relationships/settings" Target="settings.xml"/><Relationship Id="rId9" Type="http://schemas.openxmlformats.org/officeDocument/2006/relationships/hyperlink" Target="https://doi.org/10.31876/rcs.v27i2.35915" TargetMode="External"/><Relationship Id="rId14" Type="http://schemas.openxmlformats.org/officeDocument/2006/relationships/hyperlink" Target="https://edmorata.es/wp-content/uploads/2020/06/Flick.Disen%CC%83oInvestigacionCualitativa.PR_.pdf" TargetMode="External"/><Relationship Id="rId22" Type="http://schemas.openxmlformats.org/officeDocument/2006/relationships/hyperlink" Target="https://www.riied.org"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A9676-7D50-45AD-9CB5-CB631DF4F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4380</Words>
  <Characters>24968</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14</cp:revision>
  <cp:lastPrinted>2025-06-06T15:42:00Z</cp:lastPrinted>
  <dcterms:created xsi:type="dcterms:W3CDTF">2025-05-14T15:48:00Z</dcterms:created>
  <dcterms:modified xsi:type="dcterms:W3CDTF">2025-06-06T15:45:00Z</dcterms:modified>
</cp:coreProperties>
</file>