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BE1EC" w14:textId="77777777" w:rsidR="00EA42F7" w:rsidRDefault="00CA4114">
      <w:pPr>
        <w:spacing w:after="120" w:line="360" w:lineRule="auto"/>
        <w:jc w:val="center"/>
        <w:rPr>
          <w:rFonts w:ascii="Times New Roman" w:hAnsi="Times New Roman"/>
          <w:b/>
          <w:sz w:val="24"/>
          <w:lang w:val="es-CO"/>
        </w:rPr>
      </w:pPr>
      <w:r>
        <w:rPr>
          <w:rFonts w:ascii="Times New Roman" w:hAnsi="Times New Roman"/>
          <w:b/>
          <w:sz w:val="24"/>
          <w:lang w:val="es-CO"/>
        </w:rPr>
        <w:t>Estrategias innovadoras para fomentar estilos de vida saludables en la Educación de Jóvenes y Adultos</w:t>
      </w:r>
    </w:p>
    <w:p w14:paraId="50D6FEC3" w14:textId="77777777" w:rsidR="00EA42F7" w:rsidRDefault="00CA4114">
      <w:pPr>
        <w:widowControl w:val="0"/>
        <w:spacing w:after="120" w:line="360" w:lineRule="auto"/>
        <w:jc w:val="center"/>
        <w:rPr>
          <w:rFonts w:ascii="Times New Roman" w:hAnsi="Times New Roman"/>
          <w:sz w:val="24"/>
          <w:szCs w:val="24"/>
        </w:rPr>
      </w:pPr>
      <w:r>
        <w:rPr>
          <w:rFonts w:ascii="Times New Roman" w:hAnsi="Times New Roman"/>
          <w:sz w:val="24"/>
          <w:szCs w:val="24"/>
        </w:rPr>
        <w:t>Innovative strategies to promote healthy lifestyles in the education of youth and adults</w:t>
      </w:r>
    </w:p>
    <w:p w14:paraId="62F86B7C" w14:textId="319D73FF" w:rsidR="00EA42F7" w:rsidRDefault="00CA4114">
      <w:pPr>
        <w:widowControl w:val="0"/>
        <w:spacing w:after="120" w:line="360" w:lineRule="auto"/>
        <w:jc w:val="right"/>
        <w:rPr>
          <w:rFonts w:ascii="Times New Roman" w:hAnsi="Times New Roman"/>
          <w:b/>
          <w:bCs/>
          <w:i/>
          <w:sz w:val="24"/>
          <w:szCs w:val="24"/>
          <w:lang w:val="es-ES"/>
        </w:rPr>
      </w:pPr>
      <w:r>
        <w:rPr>
          <w:rFonts w:ascii="Times New Roman" w:hAnsi="Times New Roman"/>
          <w:b/>
          <w:bCs/>
          <w:i/>
          <w:sz w:val="24"/>
          <w:szCs w:val="24"/>
          <w:lang w:val="es-ES"/>
        </w:rPr>
        <w:t>Artículo</w:t>
      </w:r>
      <w:r w:rsidR="00D14EE6">
        <w:rPr>
          <w:rFonts w:ascii="Times New Roman" w:hAnsi="Times New Roman"/>
          <w:b/>
          <w:bCs/>
          <w:i/>
          <w:sz w:val="24"/>
          <w:szCs w:val="24"/>
          <w:lang w:val="es-ES"/>
        </w:rPr>
        <w:t xml:space="preserve"> </w:t>
      </w:r>
      <w:r>
        <w:rPr>
          <w:rFonts w:ascii="Times New Roman" w:hAnsi="Times New Roman"/>
          <w:b/>
          <w:bCs/>
          <w:i/>
          <w:sz w:val="24"/>
          <w:szCs w:val="24"/>
          <w:lang w:val="es-ES"/>
        </w:rPr>
        <w:t>de investigación</w:t>
      </w:r>
    </w:p>
    <w:p w14:paraId="6F405C6B" w14:textId="77777777" w:rsidR="00EA42F7" w:rsidRDefault="00CA4114">
      <w:pPr>
        <w:widowControl w:val="0"/>
        <w:spacing w:after="120" w:line="360" w:lineRule="auto"/>
        <w:rPr>
          <w:rFonts w:ascii="Times New Roman" w:hAnsi="Times New Roman"/>
          <w:b/>
          <w:sz w:val="24"/>
          <w:szCs w:val="24"/>
          <w:lang w:val="es-ES"/>
        </w:rPr>
      </w:pPr>
      <w:r>
        <w:rPr>
          <w:rFonts w:ascii="Times New Roman" w:hAnsi="Times New Roman"/>
          <w:b/>
          <w:sz w:val="24"/>
          <w:szCs w:val="24"/>
          <w:lang w:val="es-ES"/>
        </w:rPr>
        <w:t>AUTOR (ES):</w:t>
      </w:r>
    </w:p>
    <w:p w14:paraId="1326760D" w14:textId="77777777" w:rsidR="00EA42F7" w:rsidRPr="001E02AC" w:rsidRDefault="00CA4114">
      <w:pPr>
        <w:spacing w:after="120" w:line="360" w:lineRule="auto"/>
        <w:ind w:left="567"/>
        <w:jc w:val="both"/>
        <w:rPr>
          <w:rFonts w:ascii="Times New Roman" w:hAnsi="Times New Roman"/>
          <w:sz w:val="24"/>
          <w:szCs w:val="24"/>
        </w:rPr>
      </w:pPr>
      <w:r w:rsidRPr="001E02AC">
        <w:rPr>
          <w:rFonts w:ascii="Times New Roman" w:hAnsi="Times New Roman"/>
          <w:sz w:val="24"/>
          <w:szCs w:val="24"/>
        </w:rPr>
        <w:t xml:space="preserve">Dr. C </w:t>
      </w:r>
      <w:proofErr w:type="spellStart"/>
      <w:r w:rsidRPr="001E02AC">
        <w:rPr>
          <w:rFonts w:ascii="Times New Roman" w:hAnsi="Times New Roman"/>
          <w:sz w:val="24"/>
          <w:szCs w:val="24"/>
        </w:rPr>
        <w:t>Eglys</w:t>
      </w:r>
      <w:proofErr w:type="spellEnd"/>
      <w:r w:rsidRPr="001E02AC">
        <w:rPr>
          <w:rFonts w:ascii="Times New Roman" w:hAnsi="Times New Roman"/>
          <w:sz w:val="24"/>
          <w:szCs w:val="24"/>
        </w:rPr>
        <w:t xml:space="preserve"> </w:t>
      </w:r>
      <w:proofErr w:type="spellStart"/>
      <w:r w:rsidRPr="001E02AC">
        <w:rPr>
          <w:rFonts w:ascii="Times New Roman" w:hAnsi="Times New Roman"/>
          <w:sz w:val="24"/>
          <w:szCs w:val="24"/>
        </w:rPr>
        <w:t>Baró</w:t>
      </w:r>
      <w:proofErr w:type="spellEnd"/>
      <w:r w:rsidRPr="001E02AC">
        <w:rPr>
          <w:rFonts w:ascii="Times New Roman" w:hAnsi="Times New Roman"/>
          <w:sz w:val="24"/>
          <w:szCs w:val="24"/>
        </w:rPr>
        <w:t xml:space="preserve"> Moyet</w:t>
      </w:r>
      <w:r>
        <w:rPr>
          <w:rStyle w:val="Refdenotaalpie"/>
          <w:rFonts w:ascii="Times New Roman" w:hAnsi="Times New Roman"/>
          <w:sz w:val="24"/>
          <w:szCs w:val="24"/>
          <w:lang w:val="es-CO"/>
        </w:rPr>
        <w:footnoteReference w:id="1"/>
      </w:r>
    </w:p>
    <w:p w14:paraId="458B89E5" w14:textId="77777777" w:rsidR="00EA42F7" w:rsidRDefault="00CA4114">
      <w:pPr>
        <w:spacing w:after="120" w:line="360" w:lineRule="auto"/>
        <w:ind w:left="567"/>
        <w:jc w:val="both"/>
        <w:rPr>
          <w:rFonts w:ascii="Times New Roman" w:hAnsi="Times New Roman"/>
          <w:sz w:val="24"/>
          <w:szCs w:val="24"/>
          <w:lang w:val="es-CO"/>
        </w:rPr>
      </w:pPr>
      <w:r>
        <w:rPr>
          <w:rFonts w:ascii="Times New Roman" w:hAnsi="Times New Roman"/>
          <w:i/>
          <w:sz w:val="24"/>
          <w:szCs w:val="24"/>
          <w:lang w:val="es-ES_tradnl"/>
        </w:rPr>
        <w:t xml:space="preserve">Correo: </w:t>
      </w:r>
      <w:hyperlink r:id="rId7" w:history="1">
        <w:r>
          <w:rPr>
            <w:rStyle w:val="Hipervnculo"/>
            <w:rFonts w:ascii="Times New Roman" w:hAnsi="Times New Roman"/>
            <w:sz w:val="24"/>
            <w:szCs w:val="24"/>
            <w:lang w:val="es-CO"/>
          </w:rPr>
          <w:t>ebaromoyet@gmail.com</w:t>
        </w:r>
      </w:hyperlink>
    </w:p>
    <w:p w14:paraId="1535E060" w14:textId="0004F34A" w:rsidR="00EA42F7" w:rsidRDefault="001F4948">
      <w:pPr>
        <w:spacing w:after="120" w:line="360" w:lineRule="auto"/>
        <w:ind w:left="567"/>
        <w:jc w:val="both"/>
        <w:rPr>
          <w:rFonts w:ascii="Times New Roman" w:hAnsi="Times New Roman"/>
          <w:sz w:val="24"/>
          <w:szCs w:val="24"/>
          <w:lang w:val="es-CO"/>
        </w:rPr>
      </w:pPr>
      <w:proofErr w:type="spellStart"/>
      <w:r>
        <w:rPr>
          <w:rFonts w:ascii="Times New Roman" w:hAnsi="Times New Roman"/>
          <w:i/>
          <w:sz w:val="24"/>
          <w:szCs w:val="24"/>
          <w:lang w:val="es-ES_tradnl"/>
        </w:rPr>
        <w:t>Códgio</w:t>
      </w:r>
      <w:proofErr w:type="spellEnd"/>
      <w:r>
        <w:rPr>
          <w:rFonts w:ascii="Times New Roman" w:hAnsi="Times New Roman"/>
          <w:i/>
          <w:sz w:val="24"/>
          <w:szCs w:val="24"/>
          <w:lang w:val="es-ES_tradnl"/>
        </w:rPr>
        <w:t xml:space="preserve"> </w:t>
      </w:r>
      <w:proofErr w:type="spellStart"/>
      <w:r w:rsidR="00CA4114">
        <w:rPr>
          <w:rFonts w:ascii="Times New Roman" w:hAnsi="Times New Roman"/>
          <w:i/>
          <w:sz w:val="24"/>
          <w:szCs w:val="24"/>
          <w:lang w:val="es-ES_tradnl"/>
        </w:rPr>
        <w:t>Orcid</w:t>
      </w:r>
      <w:proofErr w:type="spellEnd"/>
      <w:r w:rsidR="00CA4114">
        <w:rPr>
          <w:rFonts w:ascii="Times New Roman" w:hAnsi="Times New Roman"/>
          <w:i/>
          <w:sz w:val="24"/>
          <w:szCs w:val="24"/>
          <w:lang w:val="es-ES_tradnl"/>
        </w:rPr>
        <w:t>:</w:t>
      </w:r>
      <w:r w:rsidR="009740E3">
        <w:rPr>
          <w:rFonts w:ascii="Times New Roman" w:hAnsi="Times New Roman"/>
          <w:i/>
          <w:sz w:val="24"/>
          <w:szCs w:val="24"/>
          <w:lang w:val="es-ES_tradnl"/>
        </w:rPr>
        <w:t xml:space="preserve"> </w:t>
      </w:r>
      <w:r w:rsidR="00CA4114">
        <w:rPr>
          <w:rFonts w:ascii="Times New Roman" w:hAnsi="Times New Roman"/>
          <w:sz w:val="24"/>
          <w:szCs w:val="24"/>
          <w:lang w:val="es-CO"/>
        </w:rPr>
        <w:t>http//orcid.org/0000-0002-3483-368X</w:t>
      </w:r>
    </w:p>
    <w:p w14:paraId="4EED6F9B" w14:textId="77777777" w:rsidR="00EA42F7" w:rsidRDefault="00CA4114">
      <w:pPr>
        <w:widowControl w:val="0"/>
        <w:spacing w:after="120" w:line="360" w:lineRule="auto"/>
        <w:ind w:left="567"/>
        <w:rPr>
          <w:rFonts w:ascii="Times New Roman" w:eastAsia="Calibri" w:hAnsi="Times New Roman"/>
          <w:b/>
          <w:bCs/>
          <w:sz w:val="24"/>
          <w:szCs w:val="24"/>
          <w:lang w:val="es-ES"/>
        </w:rPr>
      </w:pPr>
      <w:r>
        <w:rPr>
          <w:rFonts w:ascii="Times New Roman" w:hAnsi="Times New Roman"/>
          <w:sz w:val="24"/>
          <w:szCs w:val="24"/>
          <w:lang w:val="es-CO"/>
        </w:rPr>
        <w:t>Instituto Central de Ciencias Pedagógicas. La Habana. Cuba.</w:t>
      </w:r>
    </w:p>
    <w:tbl>
      <w:tblPr>
        <w:tblStyle w:val="Tablaconcuadrcula1"/>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4D41CF" w:rsidRPr="004D41CF" w14:paraId="0A207437" w14:textId="77777777" w:rsidTr="004D41CF">
        <w:tc>
          <w:tcPr>
            <w:tcW w:w="2942" w:type="dxa"/>
            <w:shd w:val="clear" w:color="auto" w:fill="00B0F0"/>
          </w:tcPr>
          <w:p w14:paraId="6F088BEF" w14:textId="77777777" w:rsidR="004D41CF" w:rsidRPr="004D41CF" w:rsidRDefault="004D41CF" w:rsidP="004D41CF">
            <w:pPr>
              <w:widowControl w:val="0"/>
              <w:spacing w:after="0" w:line="360" w:lineRule="auto"/>
              <w:jc w:val="center"/>
              <w:rPr>
                <w:rFonts w:ascii="Times New Roman" w:eastAsia="Calibri" w:hAnsi="Times New Roman"/>
                <w:b/>
                <w:sz w:val="24"/>
                <w:szCs w:val="24"/>
                <w:lang w:val="es-ES" w:eastAsia="en-US"/>
              </w:rPr>
            </w:pPr>
            <w:r w:rsidRPr="004D41CF">
              <w:rPr>
                <w:rFonts w:ascii="Times New Roman" w:eastAsia="Calibri" w:hAnsi="Times New Roman"/>
                <w:b/>
                <w:sz w:val="24"/>
                <w:szCs w:val="24"/>
                <w:lang w:val="es-ES" w:eastAsia="en-US"/>
              </w:rPr>
              <w:t>Recibido</w:t>
            </w:r>
          </w:p>
        </w:tc>
        <w:tc>
          <w:tcPr>
            <w:tcW w:w="2943" w:type="dxa"/>
            <w:shd w:val="clear" w:color="auto" w:fill="00B0F0"/>
          </w:tcPr>
          <w:p w14:paraId="35ED5379" w14:textId="77777777" w:rsidR="004D41CF" w:rsidRPr="004D41CF" w:rsidRDefault="004D41CF" w:rsidP="004D41CF">
            <w:pPr>
              <w:widowControl w:val="0"/>
              <w:spacing w:after="0" w:line="360" w:lineRule="auto"/>
              <w:jc w:val="center"/>
              <w:rPr>
                <w:rFonts w:ascii="Times New Roman" w:eastAsia="Calibri" w:hAnsi="Times New Roman"/>
                <w:b/>
                <w:sz w:val="24"/>
                <w:szCs w:val="24"/>
                <w:lang w:val="es-ES" w:eastAsia="en-US"/>
              </w:rPr>
            </w:pPr>
            <w:r w:rsidRPr="004D41CF">
              <w:rPr>
                <w:rFonts w:ascii="Times New Roman" w:eastAsia="Calibri" w:hAnsi="Times New Roman"/>
                <w:b/>
                <w:sz w:val="24"/>
                <w:szCs w:val="24"/>
                <w:lang w:val="es-ES" w:eastAsia="en-US"/>
              </w:rPr>
              <w:t>Aprobado</w:t>
            </w:r>
          </w:p>
        </w:tc>
        <w:tc>
          <w:tcPr>
            <w:tcW w:w="2943" w:type="dxa"/>
            <w:shd w:val="clear" w:color="auto" w:fill="00B0F0"/>
          </w:tcPr>
          <w:p w14:paraId="6CA82857" w14:textId="77777777" w:rsidR="004D41CF" w:rsidRPr="004D41CF" w:rsidRDefault="004D41CF" w:rsidP="004D41CF">
            <w:pPr>
              <w:widowControl w:val="0"/>
              <w:spacing w:after="0" w:line="360" w:lineRule="auto"/>
              <w:jc w:val="center"/>
              <w:rPr>
                <w:rFonts w:ascii="Times New Roman" w:eastAsia="Calibri" w:hAnsi="Times New Roman"/>
                <w:b/>
                <w:sz w:val="24"/>
                <w:szCs w:val="24"/>
                <w:lang w:val="es-ES" w:eastAsia="en-US"/>
              </w:rPr>
            </w:pPr>
            <w:r w:rsidRPr="004D41CF">
              <w:rPr>
                <w:rFonts w:ascii="Times New Roman" w:eastAsia="Calibri" w:hAnsi="Times New Roman"/>
                <w:b/>
                <w:sz w:val="24"/>
                <w:szCs w:val="24"/>
                <w:lang w:val="es-ES" w:eastAsia="en-US"/>
              </w:rPr>
              <w:t>Publicado</w:t>
            </w:r>
          </w:p>
        </w:tc>
      </w:tr>
      <w:tr w:rsidR="004D41CF" w:rsidRPr="004D41CF" w14:paraId="4EC952F1" w14:textId="77777777" w:rsidTr="004D41CF">
        <w:tc>
          <w:tcPr>
            <w:tcW w:w="2942" w:type="dxa"/>
          </w:tcPr>
          <w:p w14:paraId="1A1716F5" w14:textId="0F3EAD0E" w:rsidR="004D41CF" w:rsidRPr="004D41CF" w:rsidRDefault="004D41CF" w:rsidP="004D41CF">
            <w:pPr>
              <w:widowControl w:val="0"/>
              <w:spacing w:after="0" w:line="360" w:lineRule="auto"/>
              <w:jc w:val="center"/>
              <w:rPr>
                <w:rFonts w:ascii="Times New Roman" w:eastAsia="Calibri" w:hAnsi="Times New Roman"/>
                <w:sz w:val="24"/>
                <w:szCs w:val="24"/>
                <w:lang w:val="es-ES" w:eastAsia="en-US"/>
              </w:rPr>
            </w:pPr>
            <w:r>
              <w:rPr>
                <w:rFonts w:ascii="Times New Roman" w:eastAsia="Calibri" w:hAnsi="Times New Roman"/>
                <w:sz w:val="24"/>
                <w:szCs w:val="24"/>
                <w:lang w:val="es-ES" w:eastAsia="en-US"/>
              </w:rPr>
              <w:t>6</w:t>
            </w:r>
            <w:r w:rsidRPr="004D41CF">
              <w:rPr>
                <w:rFonts w:ascii="Times New Roman" w:eastAsia="Calibri" w:hAnsi="Times New Roman"/>
                <w:sz w:val="24"/>
                <w:szCs w:val="24"/>
                <w:lang w:val="es-ES" w:eastAsia="en-US"/>
              </w:rPr>
              <w:t xml:space="preserve"> de </w:t>
            </w:r>
            <w:r>
              <w:rPr>
                <w:rFonts w:ascii="Times New Roman" w:eastAsia="Calibri" w:hAnsi="Times New Roman"/>
                <w:sz w:val="24"/>
                <w:szCs w:val="24"/>
                <w:lang w:val="es-ES" w:eastAsia="en-US"/>
              </w:rPr>
              <w:t xml:space="preserve">mayo </w:t>
            </w:r>
            <w:r w:rsidRPr="004D41CF">
              <w:rPr>
                <w:rFonts w:ascii="Times New Roman" w:eastAsia="Calibri" w:hAnsi="Times New Roman"/>
                <w:sz w:val="24"/>
                <w:szCs w:val="24"/>
                <w:lang w:val="es-ES" w:eastAsia="en-US"/>
              </w:rPr>
              <w:t>de 202</w:t>
            </w:r>
            <w:r>
              <w:rPr>
                <w:rFonts w:ascii="Times New Roman" w:eastAsia="Calibri" w:hAnsi="Times New Roman"/>
                <w:sz w:val="24"/>
                <w:szCs w:val="24"/>
                <w:lang w:val="es-ES" w:eastAsia="en-US"/>
              </w:rPr>
              <w:t>3</w:t>
            </w:r>
          </w:p>
        </w:tc>
        <w:tc>
          <w:tcPr>
            <w:tcW w:w="2943" w:type="dxa"/>
          </w:tcPr>
          <w:p w14:paraId="02D87898" w14:textId="70B9AE00" w:rsidR="004D41CF" w:rsidRPr="004D41CF" w:rsidRDefault="004D41CF" w:rsidP="004D41CF">
            <w:pPr>
              <w:widowControl w:val="0"/>
              <w:spacing w:after="0" w:line="360" w:lineRule="auto"/>
              <w:jc w:val="center"/>
              <w:rPr>
                <w:rFonts w:ascii="Times New Roman" w:eastAsia="Calibri" w:hAnsi="Times New Roman"/>
                <w:sz w:val="24"/>
                <w:szCs w:val="24"/>
                <w:lang w:val="es-ES" w:eastAsia="en-US"/>
              </w:rPr>
            </w:pPr>
            <w:r w:rsidRPr="004D41CF">
              <w:rPr>
                <w:rFonts w:ascii="Times New Roman" w:eastAsia="Calibri" w:hAnsi="Times New Roman"/>
                <w:sz w:val="24"/>
                <w:szCs w:val="24"/>
                <w:lang w:val="es-ES" w:eastAsia="en-US"/>
              </w:rPr>
              <w:t xml:space="preserve">12 de </w:t>
            </w:r>
            <w:r>
              <w:rPr>
                <w:rFonts w:ascii="Times New Roman" w:eastAsia="Calibri" w:hAnsi="Times New Roman"/>
                <w:sz w:val="24"/>
                <w:szCs w:val="24"/>
                <w:lang w:val="es-ES" w:eastAsia="en-US"/>
              </w:rPr>
              <w:t xml:space="preserve">agosto </w:t>
            </w:r>
            <w:r w:rsidRPr="004D41CF">
              <w:rPr>
                <w:rFonts w:ascii="Times New Roman" w:eastAsia="Calibri" w:hAnsi="Times New Roman"/>
                <w:sz w:val="24"/>
                <w:szCs w:val="24"/>
                <w:lang w:val="es-ES" w:eastAsia="en-US"/>
              </w:rPr>
              <w:t>de 202</w:t>
            </w:r>
            <w:r>
              <w:rPr>
                <w:rFonts w:ascii="Times New Roman" w:eastAsia="Calibri" w:hAnsi="Times New Roman"/>
                <w:sz w:val="24"/>
                <w:szCs w:val="24"/>
                <w:lang w:val="es-ES" w:eastAsia="en-US"/>
              </w:rPr>
              <w:t>3</w:t>
            </w:r>
          </w:p>
        </w:tc>
        <w:tc>
          <w:tcPr>
            <w:tcW w:w="2943" w:type="dxa"/>
          </w:tcPr>
          <w:p w14:paraId="45970C8D" w14:textId="428E48E6" w:rsidR="004D41CF" w:rsidRPr="004D41CF" w:rsidRDefault="004D41CF" w:rsidP="004D41CF">
            <w:pPr>
              <w:widowControl w:val="0"/>
              <w:spacing w:after="0" w:line="360" w:lineRule="auto"/>
              <w:jc w:val="center"/>
              <w:rPr>
                <w:rFonts w:ascii="Times New Roman" w:eastAsia="Calibri" w:hAnsi="Times New Roman"/>
                <w:sz w:val="24"/>
                <w:szCs w:val="24"/>
                <w:lang w:val="es-ES" w:eastAsia="en-US"/>
              </w:rPr>
            </w:pPr>
            <w:r w:rsidRPr="004D41CF">
              <w:rPr>
                <w:rFonts w:ascii="Times New Roman" w:eastAsia="Calibri" w:hAnsi="Times New Roman"/>
                <w:sz w:val="24"/>
                <w:szCs w:val="24"/>
                <w:lang w:val="es-ES" w:eastAsia="en-US"/>
              </w:rPr>
              <w:t xml:space="preserve">10 de </w:t>
            </w:r>
            <w:proofErr w:type="gramStart"/>
            <w:r>
              <w:rPr>
                <w:rFonts w:ascii="Times New Roman" w:eastAsia="Calibri" w:hAnsi="Times New Roman"/>
                <w:sz w:val="24"/>
                <w:szCs w:val="24"/>
                <w:lang w:val="es-ES" w:eastAsia="en-US"/>
              </w:rPr>
              <w:t xml:space="preserve">septiembre </w:t>
            </w:r>
            <w:r w:rsidRPr="004D41CF">
              <w:rPr>
                <w:rFonts w:ascii="Times New Roman" w:eastAsia="Calibri" w:hAnsi="Times New Roman"/>
                <w:sz w:val="24"/>
                <w:szCs w:val="24"/>
                <w:lang w:val="es-ES" w:eastAsia="en-US"/>
              </w:rPr>
              <w:t xml:space="preserve"> de</w:t>
            </w:r>
            <w:proofErr w:type="gramEnd"/>
            <w:r w:rsidRPr="004D41CF">
              <w:rPr>
                <w:rFonts w:ascii="Times New Roman" w:eastAsia="Calibri" w:hAnsi="Times New Roman"/>
                <w:sz w:val="24"/>
                <w:szCs w:val="24"/>
                <w:lang w:val="es-ES" w:eastAsia="en-US"/>
              </w:rPr>
              <w:t xml:space="preserve"> 202</w:t>
            </w:r>
            <w:r>
              <w:rPr>
                <w:rFonts w:ascii="Times New Roman" w:eastAsia="Calibri" w:hAnsi="Times New Roman"/>
                <w:sz w:val="24"/>
                <w:szCs w:val="24"/>
                <w:lang w:val="es-ES" w:eastAsia="en-US"/>
              </w:rPr>
              <w:t>4</w:t>
            </w:r>
          </w:p>
        </w:tc>
      </w:tr>
    </w:tbl>
    <w:p w14:paraId="05DF7803" w14:textId="77777777" w:rsidR="00EA42F7" w:rsidRDefault="00EA42F7">
      <w:pPr>
        <w:widowControl w:val="0"/>
        <w:spacing w:after="120" w:line="360" w:lineRule="auto"/>
        <w:rPr>
          <w:rFonts w:ascii="Times New Roman" w:eastAsia="Calibri" w:hAnsi="Times New Roman"/>
          <w:b/>
          <w:bCs/>
          <w:sz w:val="24"/>
          <w:szCs w:val="24"/>
          <w:lang w:val="es-ES"/>
        </w:rPr>
      </w:pPr>
    </w:p>
    <w:p w14:paraId="690BB160" w14:textId="77777777" w:rsidR="00EA42F7" w:rsidRDefault="00CA4114">
      <w:pPr>
        <w:widowControl w:val="0"/>
        <w:spacing w:after="120" w:line="360" w:lineRule="auto"/>
        <w:rPr>
          <w:rFonts w:ascii="Times New Roman" w:eastAsia="Calibri" w:hAnsi="Times New Roman"/>
          <w:b/>
          <w:bCs/>
          <w:sz w:val="24"/>
          <w:szCs w:val="24"/>
          <w:lang w:val="es-ES"/>
        </w:rPr>
      </w:pPr>
      <w:r>
        <w:rPr>
          <w:rFonts w:ascii="Times New Roman" w:eastAsia="Calibri" w:hAnsi="Times New Roman"/>
          <w:b/>
          <w:bCs/>
          <w:sz w:val="24"/>
          <w:szCs w:val="24"/>
          <w:lang w:val="es-ES"/>
        </w:rPr>
        <w:t xml:space="preserve">RESUMEN </w:t>
      </w:r>
    </w:p>
    <w:p w14:paraId="00A0A91D"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En este artículo, se explora la importancia de integrar la promoción de la salud en el ámbito educativo de la educación de jóvenes y adultos en la actualidad para prevenir enfermedades, llevar una vida más activa.</w:t>
      </w:r>
      <w:r w:rsidR="00BF105D">
        <w:rPr>
          <w:rFonts w:ascii="Times New Roman" w:hAnsi="Times New Roman"/>
          <w:sz w:val="24"/>
          <w:szCs w:val="24"/>
          <w:lang w:val="es-CO"/>
        </w:rPr>
        <w:t xml:space="preserve"> </w:t>
      </w:r>
      <w:r>
        <w:rPr>
          <w:rFonts w:ascii="Times New Roman" w:hAnsi="Times New Roman"/>
          <w:sz w:val="24"/>
          <w:szCs w:val="24"/>
          <w:lang w:val="es-CO"/>
        </w:rPr>
        <w:t>Facilita a los jóvenes y adultos la toma de decisiones, fomenta la salud mental, ayuda a crear conciencia sobre la salud y adaptarse a las nuevas situaciones de pandemia, crisis económica o cambios en el entorno social, en fin contribuye a un desarrollo más robusto y equitativo, con el objetivo de generar conciencia, informar y capacitar a los jóvenes y adultos para que tomen decisiones saludables que impacten positivamente en su vida y en la de sus comunidades mediante el fomento de estilos de vida saludables.</w:t>
      </w:r>
    </w:p>
    <w:p w14:paraId="2E846CF7" w14:textId="77777777" w:rsidR="00EA42F7" w:rsidRDefault="00CA4114">
      <w:pPr>
        <w:spacing w:after="120" w:line="360" w:lineRule="auto"/>
        <w:jc w:val="both"/>
        <w:rPr>
          <w:rFonts w:ascii="Times New Roman" w:hAnsi="Times New Roman"/>
          <w:sz w:val="24"/>
          <w:szCs w:val="24"/>
          <w:lang w:val="es-ES"/>
        </w:rPr>
      </w:pPr>
      <w:r>
        <w:rPr>
          <w:rFonts w:ascii="Times New Roman" w:hAnsi="Times New Roman"/>
          <w:i/>
          <w:sz w:val="24"/>
          <w:szCs w:val="24"/>
          <w:lang w:val="es-ES"/>
        </w:rPr>
        <w:lastRenderedPageBreak/>
        <w:t>Palabras clave:</w:t>
      </w:r>
      <w:r>
        <w:rPr>
          <w:rFonts w:ascii="Times New Roman" w:hAnsi="Times New Roman"/>
          <w:sz w:val="24"/>
          <w:szCs w:val="24"/>
          <w:lang w:val="es-CO"/>
        </w:rPr>
        <w:t>promoción de la salud, ámbito educativo, educación de jóvenes y adultos</w:t>
      </w:r>
    </w:p>
    <w:p w14:paraId="295518C0" w14:textId="77777777" w:rsidR="00EA42F7" w:rsidRDefault="00CA4114">
      <w:pPr>
        <w:widowControl w:val="0"/>
        <w:spacing w:after="120" w:line="360" w:lineRule="auto"/>
        <w:rPr>
          <w:rFonts w:ascii="Times New Roman" w:eastAsia="Calibri" w:hAnsi="Times New Roman"/>
          <w:b/>
          <w:bCs/>
          <w:sz w:val="24"/>
          <w:szCs w:val="24"/>
        </w:rPr>
      </w:pPr>
      <w:r>
        <w:rPr>
          <w:rFonts w:ascii="Times New Roman" w:eastAsia="Calibri" w:hAnsi="Times New Roman"/>
          <w:b/>
          <w:bCs/>
          <w:sz w:val="24"/>
          <w:szCs w:val="24"/>
        </w:rPr>
        <w:t>ABSTRACT</w:t>
      </w:r>
    </w:p>
    <w:p w14:paraId="40A334A3" w14:textId="77777777" w:rsidR="00EA42F7" w:rsidRDefault="00CA4114">
      <w:pPr>
        <w:pStyle w:val="Textocomentario"/>
        <w:spacing w:line="360" w:lineRule="auto"/>
        <w:jc w:val="both"/>
        <w:rPr>
          <w:rFonts w:ascii="Times New Roman" w:hAnsi="Times New Roman"/>
          <w:sz w:val="24"/>
          <w:szCs w:val="24"/>
        </w:rPr>
      </w:pPr>
      <w:r>
        <w:rPr>
          <w:rFonts w:ascii="Times New Roman" w:hAnsi="Times New Roman"/>
          <w:sz w:val="24"/>
          <w:szCs w:val="24"/>
        </w:rPr>
        <w:t>In this article explores the importance of integrating health promotion in the educational field of young people and adults at the present moment to prevent diseases ad lead an active life. It makes it easier for young people and adults to make decisions, promotes mental health, helps to raise awareness about health and adapt to new situations of pandemic, economic crisis or changes in the social environment, in short, it contributes to a more robust and equitable development, with the aim of raising awareness, informing and empower youth and adults to make healthy decisions that positively impact the lives of their communities by promoting healthy lifestyles.</w:t>
      </w:r>
    </w:p>
    <w:p w14:paraId="502719DB" w14:textId="77777777" w:rsidR="00EA42F7" w:rsidRDefault="00CA4114">
      <w:pPr>
        <w:pStyle w:val="Textocomentario"/>
        <w:spacing w:line="360" w:lineRule="auto"/>
        <w:jc w:val="both"/>
        <w:rPr>
          <w:rFonts w:ascii="Times New Roman" w:hAnsi="Times New Roman"/>
          <w:sz w:val="24"/>
          <w:szCs w:val="24"/>
        </w:rPr>
      </w:pPr>
      <w:r>
        <w:rPr>
          <w:rFonts w:ascii="Times New Roman" w:hAnsi="Times New Roman"/>
          <w:i/>
          <w:iCs/>
          <w:sz w:val="24"/>
          <w:szCs w:val="24"/>
        </w:rPr>
        <w:t>Keywords:</w:t>
      </w:r>
      <w:r>
        <w:rPr>
          <w:rFonts w:ascii="Times New Roman" w:hAnsi="Times New Roman"/>
          <w:sz w:val="24"/>
          <w:szCs w:val="24"/>
        </w:rPr>
        <w:t xml:space="preserve"> health promotion, educational field, youth and adults education.</w:t>
      </w:r>
    </w:p>
    <w:p w14:paraId="0717D768" w14:textId="77777777" w:rsidR="00EA42F7" w:rsidRDefault="00CA4114">
      <w:pPr>
        <w:widowControl w:val="0"/>
        <w:spacing w:after="120" w:line="360" w:lineRule="auto"/>
        <w:jc w:val="center"/>
        <w:rPr>
          <w:rFonts w:ascii="Times New Roman" w:eastAsia="Calibri" w:hAnsi="Times New Roman"/>
          <w:b/>
          <w:bCs/>
          <w:sz w:val="24"/>
          <w:szCs w:val="24"/>
          <w:lang w:val="es-ES"/>
        </w:rPr>
      </w:pPr>
      <w:r>
        <w:rPr>
          <w:rFonts w:ascii="Times New Roman" w:eastAsia="Calibri" w:hAnsi="Times New Roman"/>
          <w:b/>
          <w:bCs/>
          <w:sz w:val="24"/>
          <w:szCs w:val="24"/>
          <w:lang w:val="es-ES"/>
        </w:rPr>
        <w:t>INTRODUCCIÓN</w:t>
      </w:r>
    </w:p>
    <w:p w14:paraId="38AF5306"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La implementación de estrategias de innovación para la salud  en la educación de jóvenes y adultos para adaptarse a la nueva realidad en un mundo de constante cambios, donde la tecnología evolucionan rápidamente  las estrategias de innovación permiten responder de manera efectiva a los desafíos actuales, ya que pueden ser mas atractivos en correspondencia con los métodos tradicionales e incluir métodos interactivos basados en proyectos, aplicaciones de salud, redes sociales y actividades prácticas para lograr su motivación. Estas fomentan la participación activa de su propio aprendizaje, permite que se sientan empoderados para tomar decisiones, permiten abordar la salud desde múltiples perspectivas interdisciplinarias, en fin las estrategias de innovación en la promoción de salud en la educación de jóvenes y adultos son esenciales para motivar y comprender habilidades necesarias para  enfrentar los desafíos de la vida moderna.</w:t>
      </w:r>
      <w:r w:rsidR="007D53BF" w:rsidRPr="007D53BF">
        <w:rPr>
          <w:rFonts w:ascii="Times New Roman" w:hAnsi="Times New Roman"/>
          <w:sz w:val="24"/>
          <w:szCs w:val="24"/>
          <w:lang w:val="es-CO"/>
        </w:rPr>
        <w:t xml:space="preserve"> </w:t>
      </w:r>
      <w:r w:rsidR="007D53BF">
        <w:rPr>
          <w:rFonts w:ascii="Times New Roman" w:hAnsi="Times New Roman"/>
          <w:sz w:val="24"/>
          <w:szCs w:val="24"/>
          <w:lang w:val="es-CO"/>
        </w:rPr>
        <w:t>Emiliano Álvarez ((2018).</w:t>
      </w:r>
    </w:p>
    <w:p w14:paraId="3910E765"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De ahí que la promoción de la salud en la educación de jóvenes adultos es fundamental por varias razones:</w:t>
      </w:r>
    </w:p>
    <w:p w14:paraId="5889DBD7"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lastRenderedPageBreak/>
        <w:t>1. Prevención de enfermedades: La promoción de la salud contribuye a la prevención de enfermedades crónicas y contagiosas. Al educar a los jóvenes y adultos sobre hábitos saludables, como la nutrición adecuada, el ejercicio físico y la importancia de evitar sustancias nocivas, se reduce el riesgo de desarrollar enfermedades a lo largo de la vida.</w:t>
      </w:r>
    </w:p>
    <w:p w14:paraId="3BC3B241"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2. Incremento del bienestar general: La educación en salud no solo se centra en la prevención de enfermedades, sino que también promueve el bienestar físico, mental y social. Esto se traduce en una mejor calidad de vida y en una mayor satisfacción personal.</w:t>
      </w:r>
    </w:p>
    <w:p w14:paraId="5D9A37B6"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3. Desarrollo de habilidades vitales: La educación en promoción de la salud dota a los individuos con las habilidades necesarias para tomar decisiones informadas sobre su salud. Esto incluye el uso de servicios de salud, la comprensión de información médica y la gestión de ellos mismos ante situaciones de riesgo.</w:t>
      </w:r>
    </w:p>
    <w:p w14:paraId="005821A1"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4. Empoderamiento: La promoción de la salud fomenta la autoconfianza y la capacidad de los individuos para controlar su propia salud. Los jóvenes y adultos empoderados son más propensos a adoptar comportamientos saludables y a influir positivamente en su entorno.</w:t>
      </w:r>
    </w:p>
    <w:p w14:paraId="500ECF2A"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5. Impacto social y comunitario: La educación en salud tiene un efecto multiplicador en las comunidades. Cuando se educa a un joven o adulto sobre prácticas saludables, a menudo comparten esta información con familiares y amigos, lo que puede llevar a un cambio cultural hacia hábitos más saludables.</w:t>
      </w:r>
    </w:p>
    <w:p w14:paraId="632E6881" w14:textId="77777777" w:rsidR="00EA42F7" w:rsidRDefault="00CA4114">
      <w:pPr>
        <w:widowControl w:val="0"/>
        <w:spacing w:after="120" w:line="360" w:lineRule="auto"/>
        <w:jc w:val="center"/>
        <w:rPr>
          <w:rFonts w:ascii="Times New Roman" w:eastAsia="Calibri" w:hAnsi="Times New Roman"/>
          <w:b/>
          <w:bCs/>
          <w:sz w:val="24"/>
          <w:szCs w:val="24"/>
          <w:lang w:val="es-ES"/>
        </w:rPr>
      </w:pPr>
      <w:r>
        <w:rPr>
          <w:rFonts w:ascii="Times New Roman" w:eastAsia="Calibri" w:hAnsi="Times New Roman"/>
          <w:b/>
          <w:bCs/>
          <w:sz w:val="24"/>
          <w:szCs w:val="24"/>
          <w:lang w:val="es-ES"/>
        </w:rPr>
        <w:t xml:space="preserve">DESARROLLO </w:t>
      </w:r>
    </w:p>
    <w:p w14:paraId="066C1AD2"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La educación para la salud es un proceso que busca proporcionar a las personas y comunidades información y habilidades necesarias para tomar decisiones informadas sobre su salud y bienestar. Con el objetivo de empoderar a los objetivos los individuos con comportamientos saludables y minimicen los riesgos asociados a enfermedades y condiciones adversas. Por lo que debemos insertar la </w:t>
      </w:r>
      <w:r>
        <w:rPr>
          <w:rFonts w:ascii="Times New Roman" w:hAnsi="Times New Roman"/>
          <w:sz w:val="24"/>
          <w:szCs w:val="24"/>
          <w:lang w:val="es-CO"/>
        </w:rPr>
        <w:lastRenderedPageBreak/>
        <w:t>promoción de la salud en el currículo educativo es fundamental por varias razones: para adquirir conocimientos desde edad temprana; fomentar estilos de vida saludables desde la infancia hasta la edad adulta; ayuda a los estudiantes a desarrollar conciencia sobre el impacto de sus decisiones responsables; mejora el rendimiento académico; en fin insertar la promoción de la salud en el currículo escolar es necesario para crear una base sólida, no solo mejorar la calidad de vida, sino también a fortalecer la salud pública  y el tejido social de las comunidades.</w:t>
      </w:r>
    </w:p>
    <w:p w14:paraId="7C4DAAB9"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Estrategias Innovadoras para Promover la Salud en la Educación:</w:t>
      </w:r>
    </w:p>
    <w:p w14:paraId="4A9B8380" w14:textId="77777777" w:rsidR="00A5420F" w:rsidRDefault="00CA4114" w:rsidP="00A5420F">
      <w:pPr>
        <w:pStyle w:val="Prrafodelista"/>
        <w:numPr>
          <w:ilvl w:val="0"/>
          <w:numId w:val="7"/>
        </w:numPr>
        <w:spacing w:after="120" w:line="360" w:lineRule="auto"/>
        <w:ind w:right="284"/>
        <w:jc w:val="both"/>
        <w:rPr>
          <w:rFonts w:ascii="Times New Roman" w:hAnsi="Times New Roman"/>
          <w:sz w:val="24"/>
          <w:szCs w:val="24"/>
          <w:lang w:val="es-CO"/>
        </w:rPr>
      </w:pPr>
      <w:r w:rsidRPr="00BF105D">
        <w:rPr>
          <w:rFonts w:ascii="Times New Roman" w:hAnsi="Times New Roman"/>
          <w:sz w:val="24"/>
          <w:szCs w:val="24"/>
          <w:lang w:val="es-CO"/>
        </w:rPr>
        <w:t xml:space="preserve">Integración de la Educación para la Salud en el Currículo Escolar: Investigaciones de </w:t>
      </w:r>
      <w:r w:rsidR="00BF105D" w:rsidRPr="00BF105D">
        <w:rPr>
          <w:rFonts w:ascii="Times New Roman" w:hAnsi="Times New Roman"/>
          <w:sz w:val="24"/>
          <w:szCs w:val="24"/>
          <w:lang w:val="es-CO"/>
        </w:rPr>
        <w:t>(UNESCO-IESALC). 2016</w:t>
      </w:r>
      <w:r w:rsidRPr="00BF105D">
        <w:rPr>
          <w:rFonts w:ascii="Times New Roman" w:hAnsi="Times New Roman"/>
          <w:sz w:val="24"/>
          <w:szCs w:val="24"/>
          <w:lang w:val="es-CO"/>
        </w:rPr>
        <w:t xml:space="preserve"> respaldan la importancia de incluir contenidos de salud en las asignaturas escolares, fomentando así </w:t>
      </w:r>
      <w:r w:rsidR="00BF105D" w:rsidRPr="00BF105D">
        <w:rPr>
          <w:rFonts w:ascii="Times New Roman" w:hAnsi="Times New Roman"/>
          <w:sz w:val="24"/>
          <w:szCs w:val="24"/>
          <w:lang w:val="es-CO"/>
        </w:rPr>
        <w:t>la adquisición de conocimientos.</w:t>
      </w:r>
    </w:p>
    <w:p w14:paraId="4B10AEEC" w14:textId="77777777" w:rsidR="00EA42F7" w:rsidRPr="00A5420F" w:rsidRDefault="00CA4114" w:rsidP="00A5420F">
      <w:pPr>
        <w:pStyle w:val="Prrafodelista"/>
        <w:numPr>
          <w:ilvl w:val="0"/>
          <w:numId w:val="7"/>
        </w:numPr>
        <w:spacing w:after="120" w:line="360" w:lineRule="auto"/>
        <w:ind w:right="284"/>
        <w:jc w:val="both"/>
        <w:rPr>
          <w:rFonts w:ascii="Times New Roman" w:hAnsi="Times New Roman"/>
          <w:sz w:val="24"/>
          <w:szCs w:val="24"/>
          <w:lang w:val="es-CO"/>
        </w:rPr>
      </w:pPr>
      <w:r w:rsidRPr="00A5420F">
        <w:rPr>
          <w:rFonts w:ascii="Times New Roman" w:hAnsi="Times New Roman"/>
          <w:sz w:val="24"/>
          <w:szCs w:val="24"/>
          <w:lang w:val="es-CO"/>
        </w:rPr>
        <w:t xml:space="preserve">Utilización de Tecnologías Educativas: Estudios liderados por </w:t>
      </w:r>
      <w:r w:rsidR="00F565D2" w:rsidRPr="00A5420F">
        <w:rPr>
          <w:rFonts w:ascii="Times New Roman" w:hAnsi="Times New Roman"/>
          <w:sz w:val="24"/>
          <w:szCs w:val="24"/>
          <w:lang w:val="es-CO"/>
        </w:rPr>
        <w:t xml:space="preserve">Emiliano Álvarez (2018) </w:t>
      </w:r>
      <w:r w:rsidRPr="00A5420F">
        <w:rPr>
          <w:rFonts w:ascii="Times New Roman" w:hAnsi="Times New Roman"/>
          <w:sz w:val="24"/>
          <w:szCs w:val="24"/>
          <w:lang w:val="es-CO"/>
        </w:rPr>
        <w:t>habilidades para mantener estilos de vida saludables. Han explorado el impacto positivo de las tecnologías educativas, como aplicaciones móviles y plataformas en línea, en la promoción de la salud y en la motivación de los jóvenes y adultos hacia conductas saludables.</w:t>
      </w:r>
    </w:p>
    <w:p w14:paraId="5A138360"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La promoción de la salud en la educación de jóvenes adultos es fundamental por varias razones:</w:t>
      </w:r>
    </w:p>
    <w:p w14:paraId="39A3EC71"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1. Incremento del bienestar general: La educación en salud no solo se centra en la prevención de enfermedades, sino que también promueve el bienestar físico, mental y social. Esto se traduce en una mejor calidad de vida y en una mayor satisfacción personal.</w:t>
      </w:r>
      <w:r w:rsidR="00DA4A6C" w:rsidRPr="00DA4A6C">
        <w:rPr>
          <w:rFonts w:ascii="Times New Roman" w:hAnsi="Times New Roman"/>
          <w:sz w:val="24"/>
          <w:szCs w:val="24"/>
          <w:lang w:val="es-CO"/>
        </w:rPr>
        <w:t xml:space="preserve"> </w:t>
      </w:r>
      <w:r w:rsidR="00DA4A6C">
        <w:rPr>
          <w:rFonts w:ascii="Times New Roman" w:hAnsi="Times New Roman"/>
          <w:sz w:val="24"/>
          <w:szCs w:val="24"/>
          <w:lang w:val="es-CO"/>
        </w:rPr>
        <w:t>(UNESCO). 2018.</w:t>
      </w:r>
    </w:p>
    <w:p w14:paraId="60B27A79"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2. Empoderamiento: La promoción de la salud fomenta la autoconfianza y la capacidad de los individuos para controlar su propia salud. Los jóvenes y adultos empoderados son más propensos a adoptar comportamientos saludables y a influir positivamente en su entorno.</w:t>
      </w:r>
    </w:p>
    <w:p w14:paraId="3A11627A"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lastRenderedPageBreak/>
        <w:t>3.Adaptación a cambios sociales: En un mundo en constante cambio, la educación en salud ayuda a los jóvenes y adultos a adaptarse a nuevas realidades, incluidos los desafíos de salud pública como epidemias, cambios en la dieta y estilo de vida, y la importancia de salud mental.</w:t>
      </w:r>
    </w:p>
    <w:p w14:paraId="47FBB916"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4. Fomento de la equidad en salud: Al proporcionar educación en salud a jóvenes y adultos de diferentes contextos socioeconómicos, se promueve la equidad en el acceso a información y recursos, contribuyendo a cerrar las brechas de salud existentes.</w:t>
      </w:r>
    </w:p>
    <w:p w14:paraId="1EF867DF"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En resumen, la promoción de la salud en la educación de jóvenes y adultos es vital para crear generaciones más saludables para afrontar los desafíos de salud que se presenten en su vida cotidiana.</w:t>
      </w:r>
      <w:r w:rsidR="00802500" w:rsidRPr="00802500">
        <w:rPr>
          <w:rFonts w:ascii="Times New Roman" w:hAnsi="Times New Roman"/>
          <w:sz w:val="24"/>
          <w:szCs w:val="24"/>
          <w:lang w:val="es-CO"/>
        </w:rPr>
        <w:t xml:space="preserve"> </w:t>
      </w:r>
      <w:r w:rsidR="00802500">
        <w:rPr>
          <w:rFonts w:ascii="Times New Roman" w:hAnsi="Times New Roman"/>
          <w:sz w:val="24"/>
          <w:szCs w:val="24"/>
          <w:lang w:val="es-CO"/>
        </w:rPr>
        <w:t>Juan Rodríguez (2017).</w:t>
      </w:r>
    </w:p>
    <w:p w14:paraId="3AB5988C" w14:textId="77777777" w:rsidR="00EA42F7" w:rsidRDefault="00CA4114">
      <w:pPr>
        <w:pStyle w:val="Prrafodelista"/>
        <w:numPr>
          <w:ilvl w:val="0"/>
          <w:numId w:val="1"/>
        </w:numPr>
        <w:tabs>
          <w:tab w:val="left" w:pos="0"/>
          <w:tab w:val="left" w:pos="284"/>
        </w:tabs>
        <w:spacing w:after="120" w:line="360" w:lineRule="auto"/>
        <w:ind w:left="0" w:firstLine="0"/>
        <w:jc w:val="both"/>
        <w:rPr>
          <w:rFonts w:ascii="Times New Roman" w:hAnsi="Times New Roman"/>
          <w:sz w:val="24"/>
          <w:szCs w:val="24"/>
          <w:lang w:val="es-CO"/>
        </w:rPr>
      </w:pPr>
      <w:r>
        <w:rPr>
          <w:rFonts w:ascii="Times New Roman" w:hAnsi="Times New Roman"/>
          <w:sz w:val="24"/>
          <w:szCs w:val="24"/>
          <w:lang w:val="es-CO"/>
        </w:rPr>
        <w:t>La promoción de la salud en jóvenes y adultos puede llevarse a cabo a través de diversas estrategias y enfoques que fomenten la concienciación y la adopción de comportamientos saludables. Aquí te presento algunas acciones efectivas:</w:t>
      </w:r>
    </w:p>
    <w:p w14:paraId="63AA1816" w14:textId="77777777" w:rsidR="00EA42F7" w:rsidRDefault="00CA4114">
      <w:pPr>
        <w:pStyle w:val="Prrafodelista"/>
        <w:numPr>
          <w:ilvl w:val="0"/>
          <w:numId w:val="4"/>
        </w:numPr>
        <w:tabs>
          <w:tab w:val="left" w:pos="284"/>
        </w:tabs>
        <w:spacing w:after="120" w:line="360" w:lineRule="auto"/>
        <w:ind w:left="0" w:firstLine="0"/>
        <w:jc w:val="both"/>
        <w:rPr>
          <w:rFonts w:ascii="Times New Roman" w:hAnsi="Times New Roman"/>
          <w:sz w:val="24"/>
          <w:szCs w:val="24"/>
          <w:lang w:val="es-CO"/>
        </w:rPr>
      </w:pPr>
      <w:r>
        <w:rPr>
          <w:rFonts w:ascii="Times New Roman" w:hAnsi="Times New Roman"/>
          <w:sz w:val="24"/>
          <w:szCs w:val="24"/>
          <w:lang w:val="es-CO"/>
        </w:rPr>
        <w:t>Educación en salud:</w:t>
      </w:r>
    </w:p>
    <w:p w14:paraId="0F6AED0C"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-Talleres y cursos: Organizar talleres sobre temas de salud relevantes (nutrición, actividad física, salud mental, prevención de enfermedades, etc.); charlas informativas: invitar a expertos en salud para dar charlas que aborden temas específicos e importantes para el público objetivo; campañas de concienciación: utilizar medios de comunicación (redes sociales, folletos, anuncios) para crear campañas que sensibilicen sobre la importancia de hábitos saludables y la prevención de enfermedades; campañas sobre temas como la salud mental, el consumo de alcohol, el tabaquismo y la actividad física.</w:t>
      </w:r>
    </w:p>
    <w:p w14:paraId="14148BCD"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Promoción de la actividad física:</w:t>
      </w:r>
    </w:p>
    <w:p w14:paraId="7343F1EA"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Organizar eventos deportivos, competencias y actividades recreativas que fomenten un estilo de vida activo; crear grupos de caminata o ejercicio que promuevan la socialización y el ejercicio regular; </w:t>
      </w:r>
      <w:r>
        <w:rPr>
          <w:rFonts w:ascii="Times New Roman" w:hAnsi="Times New Roman"/>
          <w:sz w:val="24"/>
          <w:szCs w:val="24"/>
          <w:lang w:val="es-CO"/>
        </w:rPr>
        <w:lastRenderedPageBreak/>
        <w:t>colaborar con organizaciones locales, escuelas, universidades y grupos comunitarios para desarrollar programas de salud; involucrar a líderes comunitarios para que sean promotores de la salud en su entorno.</w:t>
      </w:r>
    </w:p>
    <w:p w14:paraId="10A491ED" w14:textId="77777777" w:rsidR="00EA42F7" w:rsidRDefault="00CA4114">
      <w:pPr>
        <w:pStyle w:val="Prrafodelista"/>
        <w:numPr>
          <w:ilvl w:val="0"/>
          <w:numId w:val="4"/>
        </w:numPr>
        <w:spacing w:after="120" w:line="360" w:lineRule="auto"/>
        <w:ind w:left="0" w:hanging="426"/>
        <w:jc w:val="both"/>
        <w:rPr>
          <w:rFonts w:ascii="Times New Roman" w:hAnsi="Times New Roman"/>
          <w:sz w:val="24"/>
          <w:szCs w:val="24"/>
          <w:lang w:val="es-CO"/>
        </w:rPr>
      </w:pPr>
      <w:r>
        <w:rPr>
          <w:rFonts w:ascii="Times New Roman" w:hAnsi="Times New Roman"/>
          <w:sz w:val="24"/>
          <w:szCs w:val="24"/>
          <w:lang w:val="es-CO"/>
        </w:rPr>
        <w:t>Educación sobre nutrición:</w:t>
      </w:r>
    </w:p>
    <w:p w14:paraId="147EE494"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Promover el conocimiento sobre una alimentación equilibrada y saludable mediante talleres de cocina, degustaciones de alimentos saludables o cursos sobre planificación de comidas; fomentar iniciativas como huertos comunitarios que enseñen sobre cultivos y alimentación; salud mental: implementar programas que aborden la salud mental, enseñen técnicas de manejo del estrés y bienestar emocional; fomentar espacios seguros en los que jóvenes y adultos puedan hablar sobre sus preocupaciones y buscar apoyo.</w:t>
      </w:r>
    </w:p>
    <w:p w14:paraId="6313AD13"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Uso de tecnología:</w:t>
      </w:r>
    </w:p>
    <w:p w14:paraId="04E38B4C"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Desarrollar o utilizar aplicaciones y plataformas digitales que ofrezcan información sobre salud, programas de ejercicio y seguimiento de hábitos saludable; promover grupos en línea y foros de discusión donde los jóvenes y adultos puedan compartir experiencias y consejos sobre salud; incorporación de la salud en la educación formal: integrar contenidos de salud en los currículos escolares y de educación formal, asegurando que se aborden temas relevantes para la vida diaria de los jóvenes y adultos.</w:t>
      </w:r>
    </w:p>
    <w:p w14:paraId="28638A79"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Modelar conductas saludables:</w:t>
      </w:r>
    </w:p>
    <w:p w14:paraId="0DC40FB7"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Promover líderes y modelos a seguir que ejemplifiquen comportamientos saludables, inspirando a otros a seguir su ejemplo; estas estrategias, cuando se implementan de manera coherente y adaptada a las necesidades de la población, pueden tener un impacto significativo en la promoción de la salud entre jóvenes y adultos, ayudándoles a adoptar un estilo de vida más saludable. Es importante, además, </w:t>
      </w:r>
      <w:r>
        <w:rPr>
          <w:rFonts w:ascii="Times New Roman" w:hAnsi="Times New Roman"/>
          <w:sz w:val="24"/>
          <w:szCs w:val="24"/>
          <w:lang w:val="es-CO"/>
        </w:rPr>
        <w:lastRenderedPageBreak/>
        <w:t>evaluar y ajustar las iniciativas en función de los resultados obtenidos y la retroalimentación de los participantes.</w:t>
      </w:r>
    </w:p>
    <w:p w14:paraId="359B8518"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Desarrollar estrategias innovadoras para promover la salud en jóvenes requiere un enfoque plan y colaborativo</w:t>
      </w:r>
      <w:r w:rsidR="00104307" w:rsidRPr="00104307">
        <w:rPr>
          <w:rFonts w:ascii="Times New Roman" w:hAnsi="Times New Roman"/>
          <w:sz w:val="24"/>
          <w:szCs w:val="24"/>
          <w:lang w:val="es-CO"/>
        </w:rPr>
        <w:t xml:space="preserve"> </w:t>
      </w:r>
      <w:r w:rsidR="00104307">
        <w:rPr>
          <w:rFonts w:ascii="Times New Roman" w:hAnsi="Times New Roman"/>
          <w:sz w:val="24"/>
          <w:szCs w:val="24"/>
          <w:lang w:val="es-CO"/>
        </w:rPr>
        <w:t>María Pérez (2019)</w:t>
      </w:r>
      <w:r>
        <w:rPr>
          <w:rFonts w:ascii="Times New Roman" w:hAnsi="Times New Roman"/>
          <w:sz w:val="24"/>
          <w:szCs w:val="24"/>
          <w:lang w:val="es-CO"/>
        </w:rPr>
        <w:t>. Aquí tienes un paso a paso para crear estas estrategias:</w:t>
      </w:r>
    </w:p>
    <w:p w14:paraId="2A4DCA9A"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1. Investigación y diagnóstico: </w:t>
      </w:r>
    </w:p>
    <w:p w14:paraId="05624A78"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Encuestas y entrevistas: Realiza encuestas o entrevistas con jóvenes y adultos para identificar sus necesidades, intereses y barreras relacionadas con la promoción de la salud; análisis de datos: revisa datos existentes sobre la salud de la población objetivo, como tasas de enfermedades, hábitos alimentarios y niveles de actividad física.</w:t>
      </w:r>
    </w:p>
    <w:p w14:paraId="26CF8CE0"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2. Definición de objetivos claros</w:t>
      </w:r>
    </w:p>
    <w:p w14:paraId="035C3875"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Establecer metas específicas: Define qué aspectos de la salud deseas abordar (por ejemplo, nutrición, actividad física, salud mental) y establece objetivos medibles y alcanzables.</w:t>
      </w:r>
    </w:p>
    <w:p w14:paraId="03EE9422"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3. Colaboración y co-creación</w:t>
      </w:r>
    </w:p>
    <w:p w14:paraId="72B59598"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Involucrar a la comunidad: Invita a jóvenes, adultos, profesionales de salud y líderes comunitarios a colaborar en el desarrollo de estrategias. Esto puede hacerse a través de talleres, reuniones y grupos focales; formación de alianzas: trabaja con organizaciones locales, escuelas, universidades, centros de salud y empresas para acceder a recursos y expertos.</w:t>
      </w:r>
    </w:p>
    <w:p w14:paraId="3B38DFBB"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4. Innovación y creatividad</w:t>
      </w:r>
    </w:p>
    <w:p w14:paraId="0FEBD7FC"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Investigación de tendencias: Examina tendencias actuales en promoción de la salud, tecnología, redes sociales y comportamiento juvenil para inspirar estrategias novedosas.</w:t>
      </w:r>
    </w:p>
    <w:p w14:paraId="65C9AA39"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5. Utilización de tecnología</w:t>
      </w:r>
    </w:p>
    <w:p w14:paraId="04943815"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lastRenderedPageBreak/>
        <w:t xml:space="preserve">   - Aplicaciones y plataformas digitales: Explora cómo las aplicaciones móviles o plataformas web pueden ser utilizadas para promover la salud a través de seguimientos, recordatorios y comunidades en línea.</w:t>
      </w:r>
    </w:p>
    <w:p w14:paraId="45383C45"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6. Desarrollo de contenido atractivo</w:t>
      </w:r>
    </w:p>
    <w:p w14:paraId="196CF737"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Material multimedia: Crear videos, infografías, podcasts o blogs que aborden temas de salud de manera atractiva y accesible para jóvenes y adultos; narrativa positiva: utiliza historias y testimonios de personas que han mejorado su salud como una forma de inspirar a otros.</w:t>
      </w:r>
    </w:p>
    <w:p w14:paraId="0454ABC9"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7. Evaluación continúa</w:t>
      </w:r>
    </w:p>
    <w:p w14:paraId="3F4EF757"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Métodos de evaluación: Implementa herramientas y métodos para medir el impacto de las estrategias en la salud y el bienestar de los participantes (por ejemplo, encuestas de satisfacción, análisis de datos de salud); retroalimentación: obtén retroalimentación regular de los participantes sobre lo que funciona y lo que no, y usa esta información para hacer mejoras.</w:t>
      </w:r>
    </w:p>
    <w:p w14:paraId="53739CB8"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8. Comunicación efectiva</w:t>
      </w:r>
    </w:p>
    <w:p w14:paraId="15503010"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Estrategias de marketing: Desarrolla un plan de comunicación que utilice múltiples canales (redes sociales, eventos comunitarios) para promocionar las actividades y mantener a la comunidad informada.</w:t>
      </w:r>
    </w:p>
    <w:p w14:paraId="40509AE6"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9. Sostenibilidad</w:t>
      </w:r>
    </w:p>
    <w:p w14:paraId="6F532F29"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-Planificación a largo plazo: Considera cómo las estrategias pueden ser sostenibles en el tiempo, buscando financiamiento, recursos y apoyo de la comunidad; desarrollo de líderes de salud: capacita a miembros de la comunidad para que se conviertan en defensores y promotores de la salud, asegurando la continuidad de los esfuerzos.</w:t>
      </w:r>
    </w:p>
    <w:p w14:paraId="65452E47"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lastRenderedPageBreak/>
        <w:t>Siguiendo estos pasos, podrás desarrollar estrategias innovadoras y efectivas para promover la salud en jóvenes y adultos, contribuyendo a una comunidad más saludable y consciente de la importancia del bienestar.</w:t>
      </w:r>
    </w:p>
    <w:p w14:paraId="2A0D59B2"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Algunas actividades concretas que se pueden llevar a cabo para promover la entre jóvenes y adultos:</w:t>
      </w:r>
    </w:p>
    <w:p w14:paraId="5D36DDD3" w14:textId="77777777" w:rsidR="00EA42F7" w:rsidRDefault="00CA4114">
      <w:pPr>
        <w:pStyle w:val="Prrafodelista"/>
        <w:numPr>
          <w:ilvl w:val="0"/>
          <w:numId w:val="4"/>
        </w:numPr>
        <w:spacing w:after="120" w:line="360" w:lineRule="auto"/>
        <w:ind w:left="0" w:hanging="142"/>
        <w:jc w:val="both"/>
        <w:rPr>
          <w:rFonts w:ascii="Times New Roman" w:hAnsi="Times New Roman"/>
          <w:sz w:val="24"/>
          <w:szCs w:val="24"/>
          <w:lang w:val="es-CO"/>
        </w:rPr>
      </w:pPr>
      <w:r>
        <w:rPr>
          <w:rFonts w:ascii="Times New Roman" w:hAnsi="Times New Roman"/>
          <w:sz w:val="24"/>
          <w:szCs w:val="24"/>
          <w:lang w:val="es-CO"/>
        </w:rPr>
        <w:t>Talleres de cocina saludable:    - Organizar sesiones prácticas donde los participantes aprendan a preparar comidas nutritivas y equilibradas, utilizando ingredientes frescos y accesibles.</w:t>
      </w:r>
    </w:p>
    <w:p w14:paraId="1CE8D187" w14:textId="77777777" w:rsidR="00EA42F7" w:rsidRDefault="00CA4114">
      <w:pPr>
        <w:pStyle w:val="Prrafodelista"/>
        <w:numPr>
          <w:ilvl w:val="0"/>
          <w:numId w:val="4"/>
        </w:numPr>
        <w:spacing w:after="120" w:line="360" w:lineRule="auto"/>
        <w:ind w:left="0" w:hanging="142"/>
        <w:jc w:val="both"/>
        <w:rPr>
          <w:rFonts w:ascii="Times New Roman" w:hAnsi="Times New Roman"/>
          <w:sz w:val="24"/>
          <w:szCs w:val="24"/>
          <w:lang w:val="es-CO"/>
        </w:rPr>
      </w:pPr>
      <w:r>
        <w:rPr>
          <w:rFonts w:ascii="Times New Roman" w:hAnsi="Times New Roman"/>
          <w:sz w:val="24"/>
          <w:szCs w:val="24"/>
          <w:lang w:val="es-CO"/>
        </w:rPr>
        <w:t>Clases de ejercicio:   - Ofrecer clases grupales de actividades físicas, como Zumba, yoga, pilates, aeróbicos, o deportes de equipo como baloncesto o fútbol.</w:t>
      </w:r>
    </w:p>
    <w:p w14:paraId="2ABAF4C5" w14:textId="77777777" w:rsidR="00EA42F7" w:rsidRDefault="00CA4114">
      <w:pPr>
        <w:pStyle w:val="Prrafodelista"/>
        <w:numPr>
          <w:ilvl w:val="0"/>
          <w:numId w:val="4"/>
        </w:numPr>
        <w:spacing w:after="120" w:line="360" w:lineRule="auto"/>
        <w:ind w:left="0" w:hanging="142"/>
        <w:jc w:val="both"/>
        <w:rPr>
          <w:rFonts w:ascii="Times New Roman" w:hAnsi="Times New Roman"/>
          <w:sz w:val="24"/>
          <w:szCs w:val="24"/>
          <w:lang w:val="es-CO"/>
        </w:rPr>
      </w:pPr>
      <w:r>
        <w:rPr>
          <w:rFonts w:ascii="Times New Roman" w:hAnsi="Times New Roman"/>
          <w:sz w:val="24"/>
          <w:szCs w:val="24"/>
          <w:lang w:val="es-CO"/>
        </w:rPr>
        <w:t>Caminatas o carreras comunitarias:   - Planificar eventos como caminatas, maratones o carreras en las que la comunidad pueda participar, fomentando la actividad física y la interacción social.</w:t>
      </w:r>
    </w:p>
    <w:p w14:paraId="614D0367" w14:textId="77777777" w:rsidR="00EA42F7" w:rsidRDefault="00CA4114">
      <w:pPr>
        <w:pStyle w:val="Prrafodelista"/>
        <w:numPr>
          <w:ilvl w:val="0"/>
          <w:numId w:val="4"/>
        </w:numPr>
        <w:spacing w:after="120" w:line="360" w:lineRule="auto"/>
        <w:ind w:left="0" w:hanging="142"/>
        <w:jc w:val="both"/>
        <w:rPr>
          <w:rFonts w:ascii="Times New Roman" w:hAnsi="Times New Roman"/>
          <w:sz w:val="24"/>
          <w:szCs w:val="24"/>
          <w:lang w:val="es-CO"/>
        </w:rPr>
      </w:pPr>
      <w:r>
        <w:rPr>
          <w:rFonts w:ascii="Times New Roman" w:hAnsi="Times New Roman"/>
          <w:sz w:val="24"/>
          <w:szCs w:val="24"/>
          <w:lang w:val="es-CO"/>
        </w:rPr>
        <w:t>Días de salud:   - Realizar ferias de salud donde se ofrezcan servicios como chequeos médicos, pruebas de presión arterial, colesterol, glucosa y charlas educativas sobre prevención de enfermedades.</w:t>
      </w:r>
    </w:p>
    <w:p w14:paraId="62887E74" w14:textId="77777777" w:rsidR="00EA42F7" w:rsidRDefault="00CA4114">
      <w:pPr>
        <w:pStyle w:val="Prrafodelista"/>
        <w:numPr>
          <w:ilvl w:val="0"/>
          <w:numId w:val="4"/>
        </w:numPr>
        <w:spacing w:after="120" w:line="360" w:lineRule="auto"/>
        <w:ind w:left="0" w:hanging="142"/>
        <w:jc w:val="both"/>
        <w:rPr>
          <w:rFonts w:ascii="Times New Roman" w:hAnsi="Times New Roman"/>
          <w:sz w:val="24"/>
          <w:szCs w:val="24"/>
          <w:lang w:val="es-CO"/>
        </w:rPr>
      </w:pPr>
      <w:r>
        <w:rPr>
          <w:rFonts w:ascii="Times New Roman" w:hAnsi="Times New Roman"/>
          <w:sz w:val="24"/>
          <w:szCs w:val="24"/>
          <w:lang w:val="es-CO"/>
        </w:rPr>
        <w:t>Charlas y conferencias:   - Invitar a expertos en salud para dar charlas sobre temas como salud mental, prevención del suicidio, manejo del estrés, nutrición y adicciones.</w:t>
      </w:r>
    </w:p>
    <w:p w14:paraId="29680188" w14:textId="77777777" w:rsidR="00EA42F7" w:rsidRDefault="00CA4114">
      <w:pPr>
        <w:pStyle w:val="Prrafodelista"/>
        <w:numPr>
          <w:ilvl w:val="0"/>
          <w:numId w:val="4"/>
        </w:numPr>
        <w:tabs>
          <w:tab w:val="left" w:pos="360"/>
        </w:tabs>
        <w:spacing w:after="120" w:line="360" w:lineRule="auto"/>
        <w:ind w:left="0" w:hanging="578"/>
        <w:jc w:val="both"/>
        <w:rPr>
          <w:rFonts w:ascii="Times New Roman" w:hAnsi="Times New Roman"/>
          <w:sz w:val="24"/>
          <w:szCs w:val="24"/>
          <w:lang w:val="es-CO"/>
        </w:rPr>
      </w:pPr>
      <w:r>
        <w:rPr>
          <w:rFonts w:ascii="Times New Roman" w:hAnsi="Times New Roman"/>
          <w:sz w:val="24"/>
          <w:szCs w:val="24"/>
          <w:lang w:val="es-CO"/>
        </w:rPr>
        <w:t>Grupos de apoyo:   - Establecer grupos de apoyo para discutir temas relevantes, como el manejo del estrés, la ansiedad, la depresión o la superación de adicciones.</w:t>
      </w:r>
    </w:p>
    <w:p w14:paraId="160F8CA2"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Campañas de sensibilización:   - Realizar campañas de sensibilización sobre temas específicos, como la importancia de la vacunación, el consumo moderado de alcohol y la prevención de enfermedades de transmisión sexual.</w:t>
      </w:r>
    </w:p>
    <w:p w14:paraId="6D92EE9A" w14:textId="77777777" w:rsidR="00EA42F7" w:rsidRDefault="00CA4114">
      <w:pPr>
        <w:pStyle w:val="Prrafodelista"/>
        <w:numPr>
          <w:ilvl w:val="0"/>
          <w:numId w:val="4"/>
        </w:numPr>
        <w:tabs>
          <w:tab w:val="left" w:pos="426"/>
        </w:tabs>
        <w:spacing w:after="120" w:line="360" w:lineRule="auto"/>
        <w:ind w:left="0" w:hanging="578"/>
        <w:jc w:val="both"/>
        <w:rPr>
          <w:rFonts w:ascii="Times New Roman" w:hAnsi="Times New Roman"/>
          <w:sz w:val="24"/>
          <w:szCs w:val="24"/>
          <w:lang w:val="es-CO"/>
        </w:rPr>
      </w:pPr>
      <w:r>
        <w:rPr>
          <w:rFonts w:ascii="Times New Roman" w:hAnsi="Times New Roman"/>
          <w:sz w:val="24"/>
          <w:szCs w:val="24"/>
          <w:lang w:val="es-CO"/>
        </w:rPr>
        <w:t>Actividades de voluntariado:   - Organizar actividades de voluntariado en las que los participantes puedan contribuir a la comunidad, promoviendo así el bienestar emocional y social.</w:t>
      </w:r>
    </w:p>
    <w:p w14:paraId="38D87C49"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Clubes de lectura o cine:   - Crear clubes que se enfoquen en la lectura de libros o proyección de películas relacionadas con la salud y el bienestar, seguidos de discusiones posteriores sobre los temas tratados.</w:t>
      </w:r>
    </w:p>
    <w:p w14:paraId="6424DD8D"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lastRenderedPageBreak/>
        <w:t>Talleres de manejo del estrés:    - Ofrecer talleres que enseñen técnicas de relajación, meditación y otras estrategias para manejar el estrés y mejorar la salud mental.</w:t>
      </w:r>
    </w:p>
    <w:p w14:paraId="75544CAD"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Excursiones al aire libre:    - Organizar excursiones de senderismo, ciclismo o actividades al aire libre para fomentar el ejercicio y la conexión con la naturaleza.</w:t>
      </w:r>
    </w:p>
    <w:p w14:paraId="3E0E7C9D"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Compañías de ejercicio:    - Formar parejas o grupos de ejercicio para fomentar la responsabilidad mutua y el apoyo en la práctica regular de actividad física.</w:t>
      </w:r>
    </w:p>
    <w:p w14:paraId="4CCF5EF0"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Desafíos de salud:    - Lanzar desafíos de salud, como retos de pasos, consumo de agua, o hábitos alimenticios, en los que los participantes puedan competir amistosamente.</w:t>
      </w:r>
    </w:p>
    <w:p w14:paraId="4A79F71A" w14:textId="77777777" w:rsidR="00EA42F7" w:rsidRDefault="00CA4114">
      <w:pPr>
        <w:pStyle w:val="Prrafodelista"/>
        <w:numPr>
          <w:ilvl w:val="0"/>
          <w:numId w:val="4"/>
        </w:numPr>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Tardes de juegos saludables:    - Organizar actividades recreativas que incluyan juegos de equipo y actividades al aire libre, fomentando la conexión social y la física.</w:t>
      </w:r>
    </w:p>
    <w:p w14:paraId="44097916" w14:textId="77777777" w:rsidR="00EA42F7" w:rsidRDefault="00CA4114">
      <w:pPr>
        <w:pStyle w:val="Prrafodelista"/>
        <w:numPr>
          <w:ilvl w:val="0"/>
          <w:numId w:val="4"/>
        </w:numPr>
        <w:tabs>
          <w:tab w:val="left" w:pos="567"/>
        </w:tabs>
        <w:spacing w:after="120" w:line="360" w:lineRule="auto"/>
        <w:ind w:left="0" w:hanging="284"/>
        <w:jc w:val="both"/>
        <w:rPr>
          <w:rFonts w:ascii="Times New Roman" w:hAnsi="Times New Roman"/>
          <w:sz w:val="24"/>
          <w:szCs w:val="24"/>
          <w:lang w:val="es-CO"/>
        </w:rPr>
      </w:pPr>
      <w:r>
        <w:rPr>
          <w:rFonts w:ascii="Times New Roman" w:hAnsi="Times New Roman"/>
          <w:sz w:val="24"/>
          <w:szCs w:val="24"/>
          <w:lang w:val="es-CO"/>
        </w:rPr>
        <w:t>Encuestas de salud comunitarias:    - Realizar encuestas para identificar las necesidades de salud de la comunidad y ajustar las actividades y programas de promoción de salud de acuerdo a los resultados.</w:t>
      </w:r>
    </w:p>
    <w:p w14:paraId="3A771643"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Estas actividades pueden ser adaptadas según las necesidades y preferencias de los grupos de jóvenes y adultos. Es fundamental crear un ambiente inclusivo y motivador para asegurar la participación activa y el compromiso.</w:t>
      </w:r>
      <w:r w:rsidR="00BF105D">
        <w:rPr>
          <w:rFonts w:ascii="Times New Roman" w:hAnsi="Times New Roman"/>
          <w:sz w:val="24"/>
          <w:szCs w:val="24"/>
          <w:lang w:val="es-CO"/>
        </w:rPr>
        <w:t xml:space="preserve"> </w:t>
      </w:r>
      <w:r>
        <w:rPr>
          <w:rFonts w:ascii="Times New Roman" w:hAnsi="Times New Roman"/>
          <w:sz w:val="24"/>
          <w:szCs w:val="24"/>
          <w:lang w:val="es-CO"/>
        </w:rPr>
        <w:t>Un ejemplo de una estrategia innovadora para promover la salud en jóvenes y adultos es la creación de un "Desafío de Bienestar Comunitario" que combine la tecnología, la gamificación y el trabajo en equipo. Aquí te detallo cómo se podría implementar:</w:t>
      </w:r>
    </w:p>
    <w:p w14:paraId="059DD6F2"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Desafío de Bienestar Comunitario</w:t>
      </w:r>
    </w:p>
    <w:p w14:paraId="134BA3C9"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Objetivo:</w:t>
      </w:r>
    </w:p>
    <w:p w14:paraId="57D70D64"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Promover hábitos saludables en la comunidad, incluyendo actividad física, alimentación equilibrada y bienestar mental, a través de la participación activa y la competencia amistosa.</w:t>
      </w:r>
    </w:p>
    <w:p w14:paraId="70299815"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Componentes de la estrategia:</w:t>
      </w:r>
    </w:p>
    <w:p w14:paraId="06BC46E8"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lastRenderedPageBreak/>
        <w:t>1. Aplicación Móvil:   - Desarrollar una aplicación que permita a los participantes registrarse, crear equipos y seguir su progreso en diferentes áreas de bienestar (ejercicio, nutrición, salud mental);  la aplicación podría ofrecer retos diarios, consejos de salud, recetas saludables y ejercicios breves.</w:t>
      </w:r>
    </w:p>
    <w:p w14:paraId="7FF8EDB2"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2. Gamificación: Implementar un sistema de puntos donde los participantes ganan puntos por completar desafíos, como caminar 10,000 pasos al día, asistir a clases de ejercicio, o preparar comidas saludables en casa; los equipos compiten entre sí acumulando puntos a lo largo de un mes, con tablas de clasificación visibles en la app.</w:t>
      </w:r>
    </w:p>
    <w:p w14:paraId="0BC3C772"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3. Eventos Comunitarios: Organizar eventos semanales, como carreras, clases de yoga al aire libre, talleres de cocina saludable o sesiones de meditación, donde los participantes puedan participar y ganar puntos adicionales; estos eventos pueden ser oportunidades de socialización que fomenten el sentido de comunidad.</w:t>
      </w:r>
    </w:p>
    <w:p w14:paraId="70C7049A"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4. Colaboraciones con Influencers Locales: Involucrar a influenciadores locales, entrenadores y chefs para promover el desafío en redes sociales y dar consejos a los participantes, aumentando la visibilidad y el interés en la iniciativa.</w:t>
      </w:r>
    </w:p>
    <w:p w14:paraId="1E087DE3"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5. Reconocimientos y Recompensas:  Al final del desafío, premiar a los equipos con mayor puntuación y realizar sorteos de premios saludables, como membresías para gimnasios, clases de cocina, o productos de salud y bienestar; considerar premios que no solo sean tangibles, sino que también incluyan reconocimiento público, como menciones en redes sociales y eventos comunitarios.</w:t>
      </w:r>
    </w:p>
    <w:p w14:paraId="46D21D58"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6. Evaluación:  Al finalizar el desafío, realizar encuestas para recoger comentarios de los participantes sobre su experiencia, lo que les gustaría mejorar y qué impactos notaron en su salud y bienestar; utilizar esta información para ajustar futuros desafíos y mantener el interés en la promoción de la salud.</w:t>
      </w:r>
    </w:p>
    <w:p w14:paraId="05BC956F"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lastRenderedPageBreak/>
        <w:t>Resultados esperados:- Aumento de la actividad física y mejora en hábitos alimentarios entre jóvenes y adultos.; - Creación de una comunidad de apoyo que fomente el bienestar;- Mayor conciencia sobre la importancia de la salud mental y la actividad física en la vida diaria.</w:t>
      </w:r>
    </w:p>
    <w:p w14:paraId="2EBD7C59"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Este enfoque no solo utiliza herramientas modernas y participación activa, sino que también combina el entretenimiento y la competencia saludable, lo que puede resultar muy atractivo para los jóvenes y adultos.</w:t>
      </w:r>
    </w:p>
    <w:p w14:paraId="36581E93"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De ahí que podamos ver cómo implementar programas de promoción de salud en jóvenes y adultos requiere una planificación cuidadosa y una ejecución estratégica. </w:t>
      </w:r>
      <w:r w:rsidR="00A5420F">
        <w:rPr>
          <w:rFonts w:ascii="Times New Roman" w:hAnsi="Times New Roman"/>
          <w:sz w:val="24"/>
          <w:szCs w:val="24"/>
          <w:lang w:val="es-CO"/>
        </w:rPr>
        <w:t>Laura Gómez</w:t>
      </w:r>
      <w:r w:rsidR="007D53BF">
        <w:rPr>
          <w:rFonts w:ascii="Times New Roman" w:hAnsi="Times New Roman"/>
          <w:sz w:val="24"/>
          <w:szCs w:val="24"/>
          <w:lang w:val="es-CO"/>
        </w:rPr>
        <w:t xml:space="preserve"> </w:t>
      </w:r>
      <w:r w:rsidR="00A5420F">
        <w:rPr>
          <w:rFonts w:ascii="Times New Roman" w:hAnsi="Times New Roman"/>
          <w:sz w:val="24"/>
          <w:szCs w:val="24"/>
          <w:lang w:val="es-CO"/>
        </w:rPr>
        <w:t xml:space="preserve">(2015). </w:t>
      </w:r>
      <w:r>
        <w:rPr>
          <w:rFonts w:ascii="Times New Roman" w:hAnsi="Times New Roman"/>
          <w:sz w:val="24"/>
          <w:szCs w:val="24"/>
          <w:lang w:val="es-CO"/>
        </w:rPr>
        <w:t>A continuación, se presenta un marco paso a paso para llevar a cabo estos programas:</w:t>
      </w:r>
    </w:p>
    <w:p w14:paraId="6D99C8BD"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1. Definición de objetivos y metas donde se:</w:t>
      </w:r>
    </w:p>
    <w:p w14:paraId="3FB6E49C"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Establecen objetivos claros: Define qué áreas específicas de la salud deseas abordar (por ejemplo, nutrición, actividad física, salud mental, prevención de enfermedades);- Metas medibles: Asegúrate de que las metas sean específicas, medibles, alcanzables, relevantes y temporales (SMART).</w:t>
      </w:r>
    </w:p>
    <w:p w14:paraId="666D0884"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2. Investigación y análisis de necesidades para:</w:t>
      </w:r>
    </w:p>
    <w:p w14:paraId="7FEC939B"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Evaluación de necesidades: Realiza encuestas, grupos focales o entrevistas con la población objetivo para identificar sus intereses, necesidades y barreras para adoptar hábitos saludables;- Recopilación de datos* Revisa datos existentes sobre la salud de la población, incluidos informes sobre tasas de enfermedades y hábitos de vida.</w:t>
      </w:r>
    </w:p>
    <w:p w14:paraId="31E7917A"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3. Diseño del programa con: </w:t>
      </w:r>
    </w:p>
    <w:p w14:paraId="1BC4CC04"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Desarrollo de contenido: Crea materiales informativos y educativos adaptados a las necesidades y características de los jóvenes y adultos. Utiliza medios como talleres, folletos, videos, aplicaciones móviles y recursos en línea;- Actividades y recursos: Planifica actividades interactivas y atractivas </w:t>
      </w:r>
      <w:r>
        <w:rPr>
          <w:rFonts w:ascii="Times New Roman" w:hAnsi="Times New Roman"/>
          <w:sz w:val="24"/>
          <w:szCs w:val="24"/>
          <w:lang w:val="es-CO"/>
        </w:rPr>
        <w:lastRenderedPageBreak/>
        <w:t>(talleres de cocina, clases de ejercicio, sesiones de meditación) que fomenten la participación activa y el aprendizaje práctico.</w:t>
      </w:r>
    </w:p>
    <w:p w14:paraId="67D36EFF"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4. Colaboración y asociaciones para:</w:t>
      </w:r>
    </w:p>
    <w:p w14:paraId="355619A9"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Involucrar a interesados: Colabora con aliados en la comunidad, como escuelas, universidades, organizaciones de salud, empresas y líderes comunitarios, para aprovechar sus recursos y experiencia;- Formación de grupos de apoyo: Crea grupos de trabajo locales que incluyan a miembros de la comunidad para asegurar la participación y el apoyo continuo.</w:t>
      </w:r>
    </w:p>
    <w:p w14:paraId="432326E3"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5. Implementación del programa de:</w:t>
      </w:r>
    </w:p>
    <w:p w14:paraId="369798AC"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Calendario de actividades: Establece un cronograma claro para la implementación de las actividades y asegúrate de que sean fácilmente accesibles para la población objetivo;- Promoción del programa: Utiliza múltiples canales de comunicación, como redes sociales, periódicos locales, carteles y eventos comunitarios, para dar a conocer el programa y atraer participantes.</w:t>
      </w:r>
    </w:p>
    <w:p w14:paraId="70C8DFE3"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6. Capacitación de facilitadores de:</w:t>
      </w:r>
    </w:p>
    <w:p w14:paraId="65420CC3"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Formar facilitadores: Recluta y capacita a líderes comunitarios, profesionales de la salud y voluntarios que puedan guiar y apoyar las actividades del programa, asegurando que cuenten con las habilidades necesarias.</w:t>
      </w:r>
    </w:p>
    <w:p w14:paraId="31F07413"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7. Seguimiento y evaluación del:</w:t>
      </w:r>
    </w:p>
    <w:p w14:paraId="70A1D192"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Monitoreo continuo: Establece indicadores para medir el progreso del programa y realiza un seguimiento regular. Esto puede incluir la asistencia a actividades, encuestas de satisfacción y cambios en comportamientos de salud;- Evaluación de impacto: Al finalizar el programa, evalúa los resultados respecto a los objetivos iniciales. </w:t>
      </w:r>
    </w:p>
    <w:p w14:paraId="0AF1B19F"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8. Ajustes y mejoras de la: </w:t>
      </w:r>
    </w:p>
    <w:p w14:paraId="7537E3AB"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lastRenderedPageBreak/>
        <w:t xml:space="preserve">   - Revisión de resultados: Analiza la información recopilada durante la evaluación para identificar qué funcionó y qué no;- Ajustar estrategias: Utiliza la retroalimentación para realizar ajustes en el programa y mejorar futuras ediciones o actividades.</w:t>
      </w:r>
    </w:p>
    <w:p w14:paraId="7C261F30"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9. Sostenibilidad del programa y: </w:t>
      </w:r>
    </w:p>
    <w:p w14:paraId="5D876F3E"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Desarrollo de recursos: Busca financiamiento y recursos para mantener el programa a largo plazo;  - Capacitación continua: Asegúrate de que los facilitadores y miembros de la comunidad reciban capacitación regular para mantener la calidad del programa.</w:t>
      </w:r>
    </w:p>
    <w:p w14:paraId="2FC392A3"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10. Fomento de un ambiente de apoyo para:</w:t>
      </w:r>
    </w:p>
    <w:p w14:paraId="7CDD4D61"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 xml:space="preserve">   - Crear una comunidad: Establece redes de apoyo donde los participantes puedan compartir sus experiencias, motivarse mutuamente y fomentar hábitos saludables de manera sostenida;- Celebración de logros: Reconoce y celebra los logros de los participantes a través de eventos y reconocimientos que refuercen el compromiso con la salud.</w:t>
      </w:r>
    </w:p>
    <w:p w14:paraId="50EE7E18"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Implementando estos pasos, podrás desarrollar un programa de promoción de salud efectivo y sostenible que apoye a los jóvenes y adultos en la adopción de hábitos saludables y la mejora de su calidad de vida.</w:t>
      </w:r>
    </w:p>
    <w:p w14:paraId="6868424C" w14:textId="77777777" w:rsidR="00EA42F7" w:rsidRDefault="00CA4114">
      <w:pPr>
        <w:widowControl w:val="0"/>
        <w:spacing w:after="120" w:line="360" w:lineRule="auto"/>
        <w:jc w:val="center"/>
        <w:rPr>
          <w:rFonts w:ascii="Times New Roman" w:eastAsia="Calibri" w:hAnsi="Times New Roman"/>
          <w:sz w:val="24"/>
          <w:szCs w:val="24"/>
          <w:lang w:val="es-MX"/>
        </w:rPr>
      </w:pPr>
      <w:r>
        <w:rPr>
          <w:rFonts w:ascii="Times New Roman" w:eastAsia="Calibri" w:hAnsi="Times New Roman"/>
          <w:b/>
          <w:sz w:val="24"/>
          <w:szCs w:val="24"/>
          <w:lang w:val="es-MX"/>
        </w:rPr>
        <w:t>CONCLUSIONES</w:t>
      </w:r>
    </w:p>
    <w:p w14:paraId="02C446D0" w14:textId="77777777" w:rsidR="00EA42F7" w:rsidRDefault="00CA4114">
      <w:pPr>
        <w:spacing w:after="120" w:line="360" w:lineRule="auto"/>
        <w:jc w:val="both"/>
        <w:rPr>
          <w:rFonts w:ascii="Times New Roman" w:hAnsi="Times New Roman"/>
          <w:sz w:val="24"/>
          <w:szCs w:val="24"/>
          <w:lang w:val="es-CO"/>
        </w:rPr>
      </w:pPr>
      <w:r>
        <w:rPr>
          <w:rFonts w:ascii="Times New Roman" w:hAnsi="Times New Roman"/>
          <w:sz w:val="24"/>
          <w:szCs w:val="24"/>
          <w:lang w:val="es-CO"/>
        </w:rPr>
        <w:t>La promoción de la salud en la educación de jóvenes y adultos es un componente esencial para garantizar una sociedad más saludable y resiliente. La integración de estrategias innovadoras desde el currículo educativo, contribuir significativamente a la mejora de la salud y el bienestar; respaldadas por habilidades esenciales para el éxito en la vida personal y profesional, haciendo que el aprendizaje sea más integral y relevante, esto no solo conduce a una mejor salud individual , sino también a una sociedad más saludable en conjunto.</w:t>
      </w:r>
    </w:p>
    <w:p w14:paraId="3EDD4DF0" w14:textId="77777777" w:rsidR="00EA42F7" w:rsidRDefault="00EA42F7">
      <w:pPr>
        <w:widowControl w:val="0"/>
        <w:spacing w:after="120" w:line="360" w:lineRule="auto"/>
        <w:jc w:val="center"/>
        <w:rPr>
          <w:rFonts w:ascii="Times New Roman" w:eastAsia="Calibri" w:hAnsi="Times New Roman"/>
          <w:b/>
          <w:sz w:val="24"/>
          <w:szCs w:val="24"/>
          <w:lang w:val="es-MX"/>
        </w:rPr>
      </w:pPr>
    </w:p>
    <w:p w14:paraId="4B03C8C1" w14:textId="77777777" w:rsidR="00EA42F7" w:rsidRDefault="00EA42F7">
      <w:pPr>
        <w:widowControl w:val="0"/>
        <w:spacing w:after="120" w:line="360" w:lineRule="auto"/>
        <w:jc w:val="center"/>
        <w:rPr>
          <w:rFonts w:ascii="Times New Roman" w:eastAsia="Calibri" w:hAnsi="Times New Roman"/>
          <w:b/>
          <w:sz w:val="24"/>
          <w:szCs w:val="24"/>
          <w:lang w:val="es-MX"/>
        </w:rPr>
      </w:pPr>
    </w:p>
    <w:p w14:paraId="6B39796A" w14:textId="77777777" w:rsidR="00EA42F7" w:rsidRDefault="00EA42F7">
      <w:pPr>
        <w:widowControl w:val="0"/>
        <w:spacing w:after="120" w:line="360" w:lineRule="auto"/>
        <w:jc w:val="center"/>
        <w:rPr>
          <w:rFonts w:ascii="Times New Roman" w:eastAsia="Calibri" w:hAnsi="Times New Roman"/>
          <w:b/>
          <w:sz w:val="24"/>
          <w:szCs w:val="24"/>
          <w:lang w:val="es-MX"/>
        </w:rPr>
      </w:pPr>
    </w:p>
    <w:p w14:paraId="16F3C787" w14:textId="77777777" w:rsidR="00EA42F7" w:rsidRDefault="00CA4114">
      <w:pPr>
        <w:widowControl w:val="0"/>
        <w:spacing w:after="120" w:line="360" w:lineRule="auto"/>
        <w:jc w:val="center"/>
        <w:rPr>
          <w:rFonts w:ascii="Times New Roman" w:eastAsia="Calibri" w:hAnsi="Times New Roman"/>
          <w:sz w:val="24"/>
          <w:szCs w:val="24"/>
          <w:lang w:val="es-MX"/>
        </w:rPr>
      </w:pPr>
      <w:r>
        <w:rPr>
          <w:rFonts w:ascii="Times New Roman" w:eastAsia="Calibri" w:hAnsi="Times New Roman"/>
          <w:b/>
          <w:sz w:val="24"/>
          <w:szCs w:val="24"/>
          <w:lang w:val="es-MX"/>
        </w:rPr>
        <w:t>REFERENCIAS BIBLIOGRÁFICAS</w:t>
      </w:r>
    </w:p>
    <w:p w14:paraId="213A4ECD" w14:textId="77777777" w:rsidR="00EA42F7" w:rsidRDefault="00CA4114">
      <w:pPr>
        <w:spacing w:after="120" w:line="360" w:lineRule="auto"/>
        <w:ind w:left="1004" w:right="284" w:hanging="720"/>
        <w:jc w:val="both"/>
        <w:rPr>
          <w:rFonts w:ascii="Times New Roman" w:hAnsi="Times New Roman"/>
          <w:sz w:val="24"/>
          <w:szCs w:val="24"/>
          <w:lang w:val="es-CO"/>
        </w:rPr>
      </w:pPr>
      <w:r>
        <w:rPr>
          <w:rFonts w:ascii="Times New Roman" w:hAnsi="Times New Roman"/>
          <w:sz w:val="24"/>
          <w:szCs w:val="24"/>
          <w:lang w:val="es-CO"/>
        </w:rPr>
        <w:t>Editorial: Instituto Internacional de la UNESCO para la Educación Superior en América Latina y el Caribe (UNESCO-IESALC). 2016</w:t>
      </w:r>
    </w:p>
    <w:p w14:paraId="54EDD042" w14:textId="77777777" w:rsidR="00EA42F7" w:rsidRDefault="00CA4114">
      <w:pPr>
        <w:spacing w:after="120" w:line="360" w:lineRule="auto"/>
        <w:ind w:left="1004" w:right="284" w:hanging="720"/>
        <w:jc w:val="both"/>
        <w:rPr>
          <w:rFonts w:ascii="Times New Roman" w:hAnsi="Times New Roman"/>
          <w:sz w:val="24"/>
          <w:szCs w:val="24"/>
          <w:lang w:val="es-CO"/>
        </w:rPr>
      </w:pPr>
      <w:r>
        <w:rPr>
          <w:rFonts w:ascii="Times New Roman" w:hAnsi="Times New Roman"/>
          <w:sz w:val="24"/>
          <w:szCs w:val="24"/>
          <w:lang w:val="es-CO"/>
        </w:rPr>
        <w:t>Educación de Jóvenes y Adultos: Avances y desafíos en América Latina y el Caribe. Autores: Varios autores. Editorial: Instituto Internacional de la UNESCO para la Educación Superior en América Latina y el Caribe (UNESCO-IESALC). 2016.</w:t>
      </w:r>
    </w:p>
    <w:p w14:paraId="425B6040" w14:textId="77777777" w:rsidR="00BF105D" w:rsidRDefault="00BF105D" w:rsidP="00BF105D">
      <w:pPr>
        <w:spacing w:after="120" w:line="360" w:lineRule="auto"/>
        <w:ind w:left="1004" w:right="284" w:hanging="720"/>
        <w:jc w:val="both"/>
        <w:rPr>
          <w:rFonts w:ascii="Times New Roman" w:hAnsi="Times New Roman"/>
          <w:sz w:val="24"/>
          <w:szCs w:val="24"/>
          <w:lang w:val="es-CO"/>
        </w:rPr>
      </w:pPr>
      <w:r>
        <w:rPr>
          <w:rFonts w:ascii="Times New Roman" w:hAnsi="Times New Roman"/>
          <w:sz w:val="24"/>
          <w:szCs w:val="24"/>
          <w:lang w:val="es-CO"/>
        </w:rPr>
        <w:t>Educación de Jóvenes y Adultos: Experiencias y propuestas innovadoras. Autores: Varios autores. Editorial: Organización de las Naciones Unidas para la Educación, la Ciencia y la Cultura (UNESCO). 2018.</w:t>
      </w:r>
    </w:p>
    <w:p w14:paraId="46883CC9" w14:textId="77777777" w:rsidR="00EA42F7" w:rsidRDefault="00CA4114">
      <w:pPr>
        <w:spacing w:after="120" w:line="360" w:lineRule="auto"/>
        <w:ind w:left="1004" w:right="284" w:hanging="720"/>
        <w:jc w:val="both"/>
        <w:rPr>
          <w:rFonts w:ascii="Times New Roman" w:hAnsi="Times New Roman"/>
          <w:sz w:val="24"/>
          <w:szCs w:val="24"/>
          <w:lang w:val="es-CO"/>
        </w:rPr>
      </w:pPr>
      <w:r>
        <w:rPr>
          <w:rFonts w:ascii="Times New Roman" w:hAnsi="Times New Roman"/>
          <w:sz w:val="24"/>
          <w:szCs w:val="24"/>
          <w:lang w:val="es-CO"/>
        </w:rPr>
        <w:t>Educación de Jóvenes y Adultos en América Latina: políticas, aspiraciones y desafíos. Autor: Emiliano Álvarez. Editorial: Plaza y Valdés. 2018.</w:t>
      </w:r>
    </w:p>
    <w:p w14:paraId="7390B412" w14:textId="77777777" w:rsidR="00EA42F7" w:rsidRDefault="00CA4114">
      <w:pPr>
        <w:spacing w:after="120" w:line="360" w:lineRule="auto"/>
        <w:ind w:left="1004" w:right="284" w:hanging="720"/>
        <w:jc w:val="both"/>
        <w:rPr>
          <w:rFonts w:ascii="Times New Roman" w:hAnsi="Times New Roman"/>
          <w:sz w:val="24"/>
          <w:szCs w:val="24"/>
          <w:lang w:val="es-CO"/>
        </w:rPr>
      </w:pPr>
      <w:r>
        <w:rPr>
          <w:rFonts w:ascii="Times New Roman" w:hAnsi="Times New Roman"/>
          <w:sz w:val="24"/>
          <w:szCs w:val="24"/>
          <w:lang w:val="es-CO"/>
        </w:rPr>
        <w:t>Estrategias de educación para la salud en la formación de jóvenes y adultos: análisis de un programa de intervención comunitaria. Laura Gómez. Universidad Autónoma de Promoción Social. 2015</w:t>
      </w:r>
    </w:p>
    <w:p w14:paraId="11591A91" w14:textId="77777777" w:rsidR="00EA42F7" w:rsidRDefault="00CA4114">
      <w:pPr>
        <w:spacing w:after="120" w:line="360" w:lineRule="auto"/>
        <w:ind w:left="1004" w:right="284" w:hanging="720"/>
        <w:jc w:val="both"/>
        <w:rPr>
          <w:rFonts w:ascii="Times New Roman" w:hAnsi="Times New Roman"/>
          <w:sz w:val="24"/>
          <w:szCs w:val="24"/>
          <w:lang w:val="es-CO"/>
        </w:rPr>
      </w:pPr>
      <w:r>
        <w:rPr>
          <w:rFonts w:ascii="Times New Roman" w:hAnsi="Times New Roman"/>
          <w:sz w:val="24"/>
          <w:szCs w:val="24"/>
          <w:lang w:val="es-CO"/>
        </w:rPr>
        <w:t>Interacción entre la promoción de la salud y la educación de jóvenes y adultos: un enfoque desde la perspectiva de género Juan Rodríguez. Instituto de Investigaciones en Educación. 2017</w:t>
      </w:r>
    </w:p>
    <w:p w14:paraId="225CE240" w14:textId="77777777" w:rsidR="00EA42F7" w:rsidRDefault="00CA4114">
      <w:pPr>
        <w:spacing w:after="120" w:line="360" w:lineRule="auto"/>
        <w:ind w:left="1004" w:right="284" w:hanging="720"/>
        <w:jc w:val="both"/>
        <w:rPr>
          <w:rFonts w:ascii="Times New Roman" w:hAnsi="Times New Roman"/>
          <w:sz w:val="24"/>
          <w:szCs w:val="24"/>
          <w:lang w:val="es-CO"/>
        </w:rPr>
      </w:pPr>
      <w:r>
        <w:rPr>
          <w:rFonts w:ascii="Times New Roman" w:hAnsi="Times New Roman"/>
          <w:sz w:val="24"/>
          <w:szCs w:val="24"/>
          <w:lang w:val="es-CO"/>
        </w:rPr>
        <w:t>Promoción de la salud en la educación de jóvenes y adultos: estrategias para la prevención de enfermedades crónicas María Pérez. Institución: Universidad Nacional de Salud Pública. 2019</w:t>
      </w:r>
    </w:p>
    <w:p w14:paraId="60608638" w14:textId="77777777" w:rsidR="00EA42F7" w:rsidRDefault="00CA4114">
      <w:pPr>
        <w:spacing w:after="120" w:line="360" w:lineRule="auto"/>
        <w:jc w:val="center"/>
        <w:rPr>
          <w:rFonts w:ascii="Times New Roman" w:hAnsi="Times New Roman"/>
          <w:sz w:val="24"/>
          <w:szCs w:val="24"/>
          <w:lang w:val="es-CO"/>
        </w:rPr>
      </w:pPr>
      <w:r>
        <w:rPr>
          <w:rFonts w:ascii="Times New Roman" w:eastAsia="Times New Roman" w:hAnsi="Times New Roman"/>
          <w:b/>
          <w:sz w:val="24"/>
          <w:szCs w:val="24"/>
          <w:lang w:val="es-ES" w:eastAsia="es-ES"/>
        </w:rPr>
        <w:t>DECLARACIÓN DE CONFLICTO Y CONTRIBUCIÓN DE LOS AUTORES</w:t>
      </w:r>
    </w:p>
    <w:p w14:paraId="7209EB6E" w14:textId="77777777" w:rsidR="00EA42F7" w:rsidRDefault="00CA4114">
      <w:pPr>
        <w:spacing w:after="120" w:line="360" w:lineRule="auto"/>
        <w:jc w:val="both"/>
        <w:rPr>
          <w:rFonts w:ascii="Times New Roman" w:hAnsi="Times New Roman"/>
          <w:sz w:val="24"/>
          <w:szCs w:val="24"/>
          <w:lang w:val="es-US"/>
        </w:rPr>
      </w:pPr>
      <w:r>
        <w:rPr>
          <w:rFonts w:ascii="Times New Roman" w:eastAsia="Times New Roman" w:hAnsi="Times New Roman"/>
          <w:sz w:val="24"/>
          <w:szCs w:val="24"/>
          <w:lang w:val="es-ES" w:eastAsia="es-ES"/>
        </w:rPr>
        <w:lastRenderedPageBreak/>
        <w:t>La</w:t>
      </w:r>
      <w:r w:rsidR="00665147">
        <w:rPr>
          <w:rFonts w:ascii="Times New Roman" w:eastAsia="Times New Roman" w:hAnsi="Times New Roman"/>
          <w:sz w:val="24"/>
          <w:szCs w:val="24"/>
          <w:lang w:val="es-ES" w:eastAsia="es-ES"/>
        </w:rPr>
        <w:t xml:space="preserve"> </w:t>
      </w:r>
      <w:r>
        <w:rPr>
          <w:rFonts w:ascii="Times New Roman" w:eastAsia="Times New Roman" w:hAnsi="Times New Roman"/>
          <w:sz w:val="24"/>
          <w:szCs w:val="24"/>
          <w:lang w:val="es-ES" w:eastAsia="es-ES"/>
        </w:rPr>
        <w:t>autora</w:t>
      </w:r>
      <w:r w:rsidR="00665147">
        <w:rPr>
          <w:rFonts w:ascii="Times New Roman" w:eastAsia="Times New Roman" w:hAnsi="Times New Roman"/>
          <w:sz w:val="24"/>
          <w:szCs w:val="24"/>
          <w:lang w:val="es-ES" w:eastAsia="es-ES"/>
        </w:rPr>
        <w:t xml:space="preserve"> </w:t>
      </w:r>
      <w:r>
        <w:rPr>
          <w:rFonts w:ascii="Times New Roman" w:hAnsi="Times New Roman"/>
          <w:sz w:val="24"/>
          <w:szCs w:val="24"/>
          <w:lang w:val="es-US"/>
        </w:rPr>
        <w:t>declara que este manuscrito es original y no se ha enviado a otra revista. Es responsable del contenido recogido en el artículo y en él no existen plagios ni conflictos de interés ni éticos.</w:t>
      </w:r>
    </w:p>
    <w:sectPr w:rsidR="00EA42F7" w:rsidSect="001E02AC">
      <w:headerReference w:type="default" r:id="rId8"/>
      <w:footerReference w:type="default" r:id="rId9"/>
      <w:pgSz w:w="12240" w:h="15840" w:code="1"/>
      <w:pgMar w:top="1134" w:right="1134" w:bottom="1134" w:left="1134" w:header="811" w:footer="454" w:gutter="0"/>
      <w:pgNumType w:start="2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7B3EB" w14:textId="77777777" w:rsidR="00E323C7" w:rsidRDefault="00E323C7" w:rsidP="00EA42F7">
      <w:pPr>
        <w:spacing w:after="0" w:line="240" w:lineRule="auto"/>
      </w:pPr>
      <w:r>
        <w:separator/>
      </w:r>
    </w:p>
  </w:endnote>
  <w:endnote w:type="continuationSeparator" w:id="0">
    <w:p w14:paraId="7D5AE091" w14:textId="77777777" w:rsidR="00E323C7" w:rsidRDefault="00E323C7" w:rsidP="00EA4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A42F7" w:rsidRPr="001E02AC" w14:paraId="5886A961" w14:textId="77777777">
      <w:trPr>
        <w:trHeight w:val="310"/>
        <w:jc w:val="center"/>
      </w:trPr>
      <w:tc>
        <w:tcPr>
          <w:tcW w:w="1804" w:type="dxa"/>
          <w:shd w:val="clear" w:color="auto" w:fill="00B0F0"/>
          <w:tcMar>
            <w:top w:w="144" w:type="dxa"/>
            <w:left w:w="115" w:type="dxa"/>
            <w:bottom w:w="144" w:type="dxa"/>
            <w:right w:w="115" w:type="dxa"/>
          </w:tcMar>
          <w:tcFitText/>
          <w:vAlign w:val="center"/>
        </w:tcPr>
        <w:p w14:paraId="55784F82" w14:textId="77777777" w:rsidR="00EA42F7" w:rsidRDefault="00CA4114">
          <w:pPr>
            <w:rPr>
              <w:b/>
              <w:color w:val="FFFFFF"/>
            </w:rPr>
          </w:pPr>
          <w:r>
            <w:rPr>
              <w:noProof/>
              <w:lang w:val="es-ES" w:eastAsia="es-ES"/>
            </w:rPr>
            <w:drawing>
              <wp:inline distT="0" distB="0" distL="0" distR="0" wp14:anchorId="4D1B6A00" wp14:editId="2FBE56BF">
                <wp:extent cx="999530" cy="352106"/>
                <wp:effectExtent l="0" t="0" r="0" b="0"/>
                <wp:docPr id="409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999530" cy="352106"/>
                        </a:xfrm>
                        <a:prstGeom prst="rect">
                          <a:avLst/>
                        </a:prstGeom>
                      </pic:spPr>
                    </pic:pic>
                  </a:graphicData>
                </a:graphic>
              </wp:inline>
            </w:drawing>
          </w:r>
        </w:p>
      </w:tc>
      <w:tc>
        <w:tcPr>
          <w:tcW w:w="8281" w:type="dxa"/>
          <w:shd w:val="clear" w:color="auto" w:fill="00B0F0"/>
          <w:tcFitText/>
          <w:vAlign w:val="center"/>
        </w:tcPr>
        <w:p w14:paraId="038F0ED0" w14:textId="77777777" w:rsidR="00EA42F7" w:rsidRPr="001F4948" w:rsidRDefault="00CA4114">
          <w:pPr>
            <w:rPr>
              <w:color w:val="FFFFFF"/>
              <w:sz w:val="20"/>
              <w:lang w:val="es-ES"/>
            </w:rPr>
          </w:pPr>
          <w:r w:rsidRPr="001F4948">
            <w:rPr>
              <w:color w:val="FFFFFF"/>
              <w:spacing w:val="9"/>
              <w:sz w:val="20"/>
              <w:lang w:val="es-ES"/>
            </w:rPr>
            <w:t xml:space="preserve">Artículo de acceso abierto distribuido bajo los términos de la licencia Creative </w:t>
          </w:r>
          <w:proofErr w:type="spellStart"/>
          <w:r w:rsidRPr="001F4948">
            <w:rPr>
              <w:color w:val="FFFFFF"/>
              <w:spacing w:val="9"/>
              <w:sz w:val="20"/>
              <w:lang w:val="es-ES"/>
            </w:rPr>
            <w:t>Commons</w:t>
          </w:r>
          <w:proofErr w:type="spellEnd"/>
          <w:r w:rsidRPr="001F4948">
            <w:rPr>
              <w:color w:val="FFFFFF"/>
              <w:spacing w:val="9"/>
              <w:sz w:val="20"/>
              <w:lang w:val="es-ES"/>
            </w:rPr>
            <w:t>.</w:t>
          </w:r>
          <w:r w:rsidRPr="001F4948">
            <w:rPr>
              <w:color w:val="FFFFFF"/>
              <w:spacing w:val="-15"/>
              <w:sz w:val="20"/>
              <w:lang w:val="es-ES"/>
            </w:rPr>
            <w:t xml:space="preserve"> </w:t>
          </w:r>
        </w:p>
        <w:p w14:paraId="2237FA36" w14:textId="77777777" w:rsidR="00EA42F7" w:rsidRDefault="00CA4114">
          <w:pPr>
            <w:rPr>
              <w:b/>
              <w:color w:val="FFFFFF"/>
              <w:lang w:val="es-ES"/>
            </w:rPr>
          </w:pPr>
          <w:r w:rsidRPr="001F4948">
            <w:rPr>
              <w:color w:val="FFFFFF"/>
              <w:spacing w:val="51"/>
              <w:sz w:val="20"/>
              <w:lang w:val="es-ES"/>
            </w:rPr>
            <w:t>Reconocimiento-</w:t>
          </w:r>
          <w:proofErr w:type="spellStart"/>
          <w:r w:rsidRPr="001F4948">
            <w:rPr>
              <w:color w:val="FFFFFF"/>
              <w:spacing w:val="51"/>
              <w:sz w:val="20"/>
              <w:lang w:val="es-ES"/>
            </w:rPr>
            <w:t>NoComercial</w:t>
          </w:r>
          <w:proofErr w:type="spellEnd"/>
          <w:r w:rsidRPr="001F4948">
            <w:rPr>
              <w:color w:val="FFFFFF"/>
              <w:spacing w:val="51"/>
              <w:sz w:val="20"/>
              <w:lang w:val="es-ES"/>
            </w:rPr>
            <w:t xml:space="preserve"> 4.0 Internacional (CC BY-NC 4.0</w:t>
          </w:r>
          <w:r w:rsidRPr="001F4948">
            <w:rPr>
              <w:color w:val="FFFFFF"/>
              <w:spacing w:val="11"/>
              <w:sz w:val="20"/>
              <w:lang w:val="es-ES"/>
            </w:rPr>
            <w:t>)</w:t>
          </w:r>
        </w:p>
      </w:tc>
    </w:tr>
    <w:tr w:rsidR="00EA42F7" w:rsidRPr="001E02AC" w14:paraId="0B8472CA" w14:textId="77777777">
      <w:trPr>
        <w:trHeight w:val="14"/>
        <w:jc w:val="center"/>
      </w:trPr>
      <w:tc>
        <w:tcPr>
          <w:tcW w:w="10085" w:type="dxa"/>
          <w:gridSpan w:val="2"/>
          <w:shd w:val="clear" w:color="auto" w:fill="FFFFFF"/>
          <w:tcMar>
            <w:top w:w="144" w:type="dxa"/>
            <w:left w:w="115" w:type="dxa"/>
            <w:bottom w:w="144" w:type="dxa"/>
            <w:right w:w="115" w:type="dxa"/>
          </w:tcMar>
          <w:tcFitText/>
          <w:vAlign w:val="center"/>
        </w:tcPr>
        <w:p w14:paraId="411CDE2E" w14:textId="77777777" w:rsidR="00EA42F7" w:rsidRDefault="00CA4114">
          <w:pPr>
            <w:jc w:val="center"/>
            <w:rPr>
              <w:color w:val="FFFFFF"/>
              <w:sz w:val="20"/>
              <w:lang w:val="es-ES"/>
            </w:rPr>
          </w:pPr>
          <w:r w:rsidRPr="001F4948">
            <w:rPr>
              <w:color w:val="833C0B"/>
              <w:spacing w:val="2"/>
              <w:sz w:val="20"/>
              <w:lang w:val="es-ES"/>
            </w:rPr>
            <w:t>Calle 41 No.3406 e/34 y 36 Playa, La Habana, Cuba.    /   revista@iccp.rimed.cu   /   www.cienciaspedagogicas.rimed.c</w:t>
          </w:r>
          <w:r w:rsidRPr="001F4948">
            <w:rPr>
              <w:color w:val="833C0B"/>
              <w:spacing w:val="-13"/>
              <w:sz w:val="20"/>
              <w:lang w:val="es-ES"/>
            </w:rPr>
            <w:t>u</w:t>
          </w:r>
        </w:p>
      </w:tc>
    </w:tr>
  </w:tbl>
  <w:p w14:paraId="3D792FCF" w14:textId="77777777" w:rsidR="00EA42F7" w:rsidRDefault="00EA42F7" w:rsidP="001E02AC">
    <w:pPr>
      <w:pStyle w:val="Piedepgina"/>
      <w:tabs>
        <w:tab w:val="clear" w:pos="4680"/>
        <w:tab w:val="clear" w:pos="9360"/>
      </w:tabs>
      <w:jc w:val="center"/>
      <w:rPr>
        <w:caps/>
        <w:color w:val="5B9BD5"/>
      </w:rPr>
    </w:pPr>
    <w:r>
      <w:rPr>
        <w:caps/>
        <w:color w:val="5B9BD5"/>
      </w:rPr>
      <w:fldChar w:fldCharType="begin"/>
    </w:r>
    <w:r w:rsidR="00CA4114">
      <w:rPr>
        <w:caps/>
        <w:color w:val="5B9BD5"/>
      </w:rPr>
      <w:instrText>PAGE   \* MERGEFORMAT</w:instrText>
    </w:r>
    <w:r>
      <w:rPr>
        <w:caps/>
        <w:color w:val="5B9BD5"/>
      </w:rPr>
      <w:fldChar w:fldCharType="separate"/>
    </w:r>
    <w:r w:rsidR="00F47523">
      <w:rPr>
        <w:caps/>
        <w:noProof/>
        <w:color w:val="5B9BD5"/>
      </w:rPr>
      <w:t>16</w:t>
    </w:r>
    <w:r>
      <w:rPr>
        <w:caps/>
        <w:color w:val="5B9BD5"/>
      </w:rPr>
      <w:fldChar w:fldCharType="end"/>
    </w:r>
  </w:p>
  <w:p w14:paraId="6D2BE0F4" w14:textId="77777777" w:rsidR="00EA42F7" w:rsidRDefault="00EA42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35DC9" w14:textId="77777777" w:rsidR="00E323C7" w:rsidRDefault="00E323C7" w:rsidP="00EA42F7">
      <w:pPr>
        <w:spacing w:after="0" w:line="240" w:lineRule="auto"/>
      </w:pPr>
      <w:r>
        <w:separator/>
      </w:r>
    </w:p>
  </w:footnote>
  <w:footnote w:type="continuationSeparator" w:id="0">
    <w:p w14:paraId="74BD2D1D" w14:textId="77777777" w:rsidR="00E323C7" w:rsidRDefault="00E323C7" w:rsidP="00EA42F7">
      <w:pPr>
        <w:spacing w:after="0" w:line="240" w:lineRule="auto"/>
      </w:pPr>
      <w:r>
        <w:continuationSeparator/>
      </w:r>
    </w:p>
  </w:footnote>
  <w:footnote w:id="1">
    <w:p w14:paraId="3412A193" w14:textId="77777777" w:rsidR="00EA42F7" w:rsidRDefault="00CA4114">
      <w:pPr>
        <w:pStyle w:val="Textonotapie"/>
        <w:rPr>
          <w:lang w:val="es-ES"/>
        </w:rPr>
      </w:pPr>
      <w:r>
        <w:rPr>
          <w:rStyle w:val="Refdenotaalpie"/>
        </w:rPr>
        <w:footnoteRef/>
      </w:r>
      <w:r>
        <w:rPr>
          <w:rFonts w:ascii="Times New Roman" w:hAnsi="Times New Roman"/>
          <w:szCs w:val="24"/>
          <w:lang w:val="es-CO"/>
        </w:rPr>
        <w:t>Prof. Auxiliar e Investigador Agregado. Investigadora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tblBorders>
        <w:insideH w:val="none" w:sz="0" w:space="0" w:color="auto"/>
        <w:insideV w:val="none" w:sz="0" w:space="0" w:color="auto"/>
      </w:tblBorders>
      <w:tblLook w:val="04A0" w:firstRow="1" w:lastRow="0" w:firstColumn="1" w:lastColumn="0" w:noHBand="0" w:noVBand="1"/>
    </w:tblPr>
    <w:tblGrid>
      <w:gridCol w:w="5600"/>
      <w:gridCol w:w="4315"/>
    </w:tblGrid>
    <w:tr w:rsidR="001E02AC" w:rsidRPr="001E02AC" w14:paraId="47891A63" w14:textId="77777777" w:rsidTr="00492BCD">
      <w:tc>
        <w:tcPr>
          <w:tcW w:w="5125" w:type="dxa"/>
          <w:tcMar>
            <w:top w:w="72" w:type="dxa"/>
            <w:left w:w="115" w:type="dxa"/>
            <w:bottom w:w="72" w:type="dxa"/>
            <w:right w:w="115" w:type="dxa"/>
          </w:tcMar>
          <w:vAlign w:val="center"/>
        </w:tcPr>
        <w:p w14:paraId="6DE5A062" w14:textId="77777777" w:rsidR="001E02AC" w:rsidRPr="001E02AC" w:rsidRDefault="001E02AC" w:rsidP="001E02AC">
          <w:pPr>
            <w:spacing w:after="160" w:line="259" w:lineRule="auto"/>
            <w:jc w:val="center"/>
            <w:rPr>
              <w:rFonts w:ascii="Arial" w:eastAsia="Calibri" w:hAnsi="Arial" w:cs="Arial"/>
              <w:b/>
              <w:sz w:val="28"/>
              <w:szCs w:val="24"/>
              <w:lang w:val="es-ES" w:eastAsia="en-US"/>
            </w:rPr>
          </w:pPr>
          <w:r w:rsidRPr="001E02AC">
            <w:rPr>
              <w:rFonts w:eastAsia="Calibri"/>
              <w:noProof/>
              <w:lang w:eastAsia="en-US"/>
            </w:rPr>
            <w:drawing>
              <wp:inline distT="0" distB="0" distL="0" distR="0" wp14:anchorId="71C61A02" wp14:editId="57E0BAF5">
                <wp:extent cx="3409950" cy="665254"/>
                <wp:effectExtent l="0" t="0" r="0" b="190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1D46B309" w14:textId="77777777" w:rsidR="001E02AC" w:rsidRPr="001E02AC" w:rsidRDefault="001E02AC" w:rsidP="001E02AC">
          <w:pPr>
            <w:spacing w:after="0" w:line="259" w:lineRule="auto"/>
            <w:jc w:val="center"/>
            <w:rPr>
              <w:rFonts w:ascii="Times New Roman" w:eastAsia="Calibri" w:hAnsi="Times New Roman"/>
              <w:b/>
              <w:color w:val="FFFFFF"/>
              <w:lang w:val="es-ES" w:eastAsia="en-US"/>
            </w:rPr>
          </w:pPr>
          <w:r w:rsidRPr="001E02AC">
            <w:rPr>
              <w:rFonts w:ascii="Times New Roman" w:eastAsia="Calibri" w:hAnsi="Times New Roman"/>
              <w:b/>
              <w:color w:val="FFFFFF"/>
              <w:lang w:val="es-ES" w:eastAsia="en-US"/>
            </w:rPr>
            <w:t>ISSN: 1605 – 5888    RNPS: 1844</w:t>
          </w:r>
        </w:p>
        <w:p w14:paraId="3C4F153F" w14:textId="77777777" w:rsidR="001E02AC" w:rsidRPr="001E02AC" w:rsidRDefault="001E02AC" w:rsidP="001E02AC">
          <w:pPr>
            <w:spacing w:after="0" w:line="259" w:lineRule="auto"/>
            <w:jc w:val="center"/>
            <w:rPr>
              <w:rFonts w:ascii="Times New Roman" w:eastAsia="Calibri" w:hAnsi="Times New Roman"/>
              <w:b/>
              <w:color w:val="FFFFFF"/>
              <w:lang w:val="es-ES" w:eastAsia="en-US"/>
            </w:rPr>
          </w:pPr>
          <w:r w:rsidRPr="001E02AC">
            <w:rPr>
              <w:rFonts w:ascii="Times New Roman" w:eastAsia="Calibri" w:hAnsi="Times New Roman"/>
              <w:b/>
              <w:color w:val="FFFFFF"/>
              <w:lang w:val="es-ES" w:eastAsia="en-US"/>
            </w:rPr>
            <w:t xml:space="preserve">V.16. No.3 (septiembre-diciembre) </w:t>
          </w:r>
        </w:p>
        <w:p w14:paraId="40EED579" w14:textId="77777777" w:rsidR="001E02AC" w:rsidRPr="001E02AC" w:rsidRDefault="001E02AC" w:rsidP="001E02AC">
          <w:pPr>
            <w:spacing w:after="0" w:line="259" w:lineRule="auto"/>
            <w:jc w:val="center"/>
            <w:rPr>
              <w:rFonts w:ascii="Times New Roman" w:eastAsia="Calibri" w:hAnsi="Times New Roman"/>
              <w:b/>
              <w:color w:val="FFFFFF"/>
              <w:lang w:val="es-ES" w:eastAsia="en-US"/>
            </w:rPr>
          </w:pPr>
          <w:r w:rsidRPr="001E02AC">
            <w:rPr>
              <w:rFonts w:ascii="Times New Roman" w:eastAsia="Calibri" w:hAnsi="Times New Roman"/>
              <w:b/>
              <w:color w:val="FFFFFF"/>
              <w:lang w:val="es-ES" w:eastAsia="en-US"/>
            </w:rPr>
            <w:t xml:space="preserve">Año 2023, 4ta Etapa </w:t>
          </w:r>
        </w:p>
        <w:p w14:paraId="258056A7" w14:textId="51BCB11B" w:rsidR="001E02AC" w:rsidRPr="001E02AC" w:rsidRDefault="001E02AC" w:rsidP="001E02AC">
          <w:pPr>
            <w:spacing w:after="0" w:line="259" w:lineRule="auto"/>
            <w:jc w:val="center"/>
            <w:rPr>
              <w:rFonts w:ascii="Arial" w:eastAsia="Calibri" w:hAnsi="Arial" w:cs="Arial"/>
              <w:b/>
              <w:sz w:val="28"/>
              <w:szCs w:val="24"/>
              <w:lang w:val="es-ES" w:eastAsia="en-US"/>
            </w:rPr>
          </w:pPr>
          <w:r w:rsidRPr="001E02AC">
            <w:rPr>
              <w:rFonts w:ascii="Times New Roman" w:eastAsia="Calibri" w:hAnsi="Times New Roman"/>
              <w:b/>
              <w:color w:val="FFFFFF"/>
              <w:lang w:val="es-ES" w:eastAsia="en-US"/>
            </w:rPr>
            <w:t xml:space="preserve">Págs. </w:t>
          </w:r>
          <w:r>
            <w:rPr>
              <w:rFonts w:ascii="Times New Roman" w:eastAsia="Calibri" w:hAnsi="Times New Roman"/>
              <w:b/>
              <w:color w:val="FFFFFF"/>
              <w:lang w:val="es-ES" w:eastAsia="en-US"/>
            </w:rPr>
            <w:t>281-296</w:t>
          </w:r>
        </w:p>
      </w:tc>
    </w:tr>
  </w:tbl>
  <w:p w14:paraId="558EB8B9" w14:textId="77777777" w:rsidR="00EA42F7" w:rsidRDefault="00EA42F7">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D8C86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AAECB45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EF16A4C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74671F"/>
    <w:multiLevelType w:val="hybridMultilevel"/>
    <w:tmpl w:val="1EA63A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2045C01"/>
    <w:multiLevelType w:val="hybridMultilevel"/>
    <w:tmpl w:val="9E8CDF8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15:restartNumberingAfterBreak="0">
    <w:nsid w:val="79353A24"/>
    <w:multiLevelType w:val="multilevel"/>
    <w:tmpl w:val="2CBC6B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807012925">
    <w:abstractNumId w:val="3"/>
  </w:num>
  <w:num w:numId="2" w16cid:durableId="2084981211">
    <w:abstractNumId w:val="6"/>
  </w:num>
  <w:num w:numId="3" w16cid:durableId="689070415">
    <w:abstractNumId w:val="2"/>
  </w:num>
  <w:num w:numId="4" w16cid:durableId="143200504">
    <w:abstractNumId w:val="0"/>
  </w:num>
  <w:num w:numId="5" w16cid:durableId="15892309">
    <w:abstractNumId w:val="1"/>
  </w:num>
  <w:num w:numId="6" w16cid:durableId="1119953395">
    <w:abstractNumId w:val="4"/>
  </w:num>
  <w:num w:numId="7" w16cid:durableId="18782034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42F7"/>
    <w:rsid w:val="00104307"/>
    <w:rsid w:val="00126D9A"/>
    <w:rsid w:val="001E02AC"/>
    <w:rsid w:val="001E1946"/>
    <w:rsid w:val="001F4948"/>
    <w:rsid w:val="004410C6"/>
    <w:rsid w:val="004D41CF"/>
    <w:rsid w:val="00665147"/>
    <w:rsid w:val="00737A50"/>
    <w:rsid w:val="007C18F0"/>
    <w:rsid w:val="007D53BF"/>
    <w:rsid w:val="00802500"/>
    <w:rsid w:val="008379F6"/>
    <w:rsid w:val="008643A6"/>
    <w:rsid w:val="00880DDD"/>
    <w:rsid w:val="009740E3"/>
    <w:rsid w:val="009C78FD"/>
    <w:rsid w:val="00A5420F"/>
    <w:rsid w:val="00B63A89"/>
    <w:rsid w:val="00BE7EC7"/>
    <w:rsid w:val="00BF105D"/>
    <w:rsid w:val="00CA4114"/>
    <w:rsid w:val="00CF2A84"/>
    <w:rsid w:val="00D14EE6"/>
    <w:rsid w:val="00DA4A6C"/>
    <w:rsid w:val="00E323C7"/>
    <w:rsid w:val="00EA42F7"/>
    <w:rsid w:val="00F47523"/>
    <w:rsid w:val="00F5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9521"/>
  <w15:docId w15:val="{1270061C-D283-44F8-968B-C305B0E9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2F7"/>
    <w:pPr>
      <w:spacing w:after="200" w:line="276" w:lineRule="auto"/>
    </w:pPr>
    <w:rPr>
      <w:rFonts w:ascii="Calibri" w:eastAsia="SimSun" w:hAnsi="Calibri" w:cs="Times New Roman"/>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A4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EA42F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42F7"/>
    <w:rPr>
      <w:lang w:val="es-ES"/>
    </w:rPr>
  </w:style>
  <w:style w:type="paragraph" w:styleId="Piedepgina">
    <w:name w:val="footer"/>
    <w:basedOn w:val="Normal"/>
    <w:link w:val="PiedepginaCar"/>
    <w:uiPriority w:val="99"/>
    <w:rsid w:val="00EA42F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42F7"/>
    <w:rPr>
      <w:lang w:val="es-ES"/>
    </w:rPr>
  </w:style>
  <w:style w:type="character" w:styleId="Hipervnculo">
    <w:name w:val="Hyperlink"/>
    <w:basedOn w:val="Fuentedeprrafopredeter"/>
    <w:uiPriority w:val="99"/>
    <w:rsid w:val="00EA42F7"/>
    <w:rPr>
      <w:color w:val="0563C1"/>
      <w:u w:val="single"/>
    </w:rPr>
  </w:style>
  <w:style w:type="paragraph" w:styleId="Prrafodelista">
    <w:name w:val="List Paragraph"/>
    <w:basedOn w:val="Normal"/>
    <w:uiPriority w:val="34"/>
    <w:qFormat/>
    <w:rsid w:val="00EA42F7"/>
    <w:pPr>
      <w:ind w:left="720"/>
      <w:contextualSpacing/>
    </w:pPr>
  </w:style>
  <w:style w:type="character" w:styleId="Refdecomentario">
    <w:name w:val="annotation reference"/>
    <w:basedOn w:val="Fuentedeprrafopredeter"/>
    <w:uiPriority w:val="99"/>
    <w:rsid w:val="00EA42F7"/>
    <w:rPr>
      <w:sz w:val="16"/>
      <w:szCs w:val="16"/>
    </w:rPr>
  </w:style>
  <w:style w:type="paragraph" w:styleId="Textocomentario">
    <w:name w:val="annotation text"/>
    <w:basedOn w:val="Normal"/>
    <w:link w:val="TextocomentarioCar"/>
    <w:uiPriority w:val="99"/>
    <w:rsid w:val="00EA42F7"/>
    <w:pPr>
      <w:spacing w:line="240" w:lineRule="auto"/>
    </w:pPr>
    <w:rPr>
      <w:sz w:val="20"/>
      <w:szCs w:val="20"/>
    </w:rPr>
  </w:style>
  <w:style w:type="character" w:customStyle="1" w:styleId="TextocomentarioCar">
    <w:name w:val="Texto comentario Car"/>
    <w:basedOn w:val="Fuentedeprrafopredeter"/>
    <w:link w:val="Textocomentario"/>
    <w:uiPriority w:val="99"/>
    <w:rsid w:val="00EA42F7"/>
    <w:rPr>
      <w:sz w:val="20"/>
      <w:szCs w:val="20"/>
      <w:lang w:val="es-ES"/>
    </w:rPr>
  </w:style>
  <w:style w:type="paragraph" w:styleId="Asuntodelcomentario">
    <w:name w:val="annotation subject"/>
    <w:basedOn w:val="Textocomentario"/>
    <w:next w:val="Textocomentario"/>
    <w:link w:val="AsuntodelcomentarioCar"/>
    <w:uiPriority w:val="99"/>
    <w:rsid w:val="00EA42F7"/>
    <w:rPr>
      <w:b/>
      <w:bCs/>
    </w:rPr>
  </w:style>
  <w:style w:type="character" w:customStyle="1" w:styleId="AsuntodelcomentarioCar">
    <w:name w:val="Asunto del comentario Car"/>
    <w:basedOn w:val="TextocomentarioCar"/>
    <w:link w:val="Asuntodelcomentario"/>
    <w:uiPriority w:val="99"/>
    <w:rsid w:val="00EA42F7"/>
    <w:rPr>
      <w:b/>
      <w:bCs/>
      <w:sz w:val="20"/>
      <w:szCs w:val="20"/>
      <w:lang w:val="es-ES"/>
    </w:rPr>
  </w:style>
  <w:style w:type="paragraph" w:styleId="Textodeglobo">
    <w:name w:val="Balloon Text"/>
    <w:basedOn w:val="Normal"/>
    <w:link w:val="TextodegloboCar"/>
    <w:uiPriority w:val="99"/>
    <w:rsid w:val="00EA42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EA42F7"/>
    <w:rPr>
      <w:rFonts w:ascii="Segoe UI" w:hAnsi="Segoe UI" w:cs="Segoe UI"/>
      <w:sz w:val="18"/>
      <w:szCs w:val="18"/>
      <w:lang w:val="es-ES"/>
    </w:rPr>
  </w:style>
  <w:style w:type="paragraph" w:styleId="Textonotapie">
    <w:name w:val="footnote text"/>
    <w:basedOn w:val="Normal"/>
    <w:link w:val="TextonotapieCar"/>
    <w:uiPriority w:val="99"/>
    <w:rsid w:val="00EA42F7"/>
    <w:pPr>
      <w:spacing w:after="0" w:line="240" w:lineRule="auto"/>
    </w:pPr>
    <w:rPr>
      <w:sz w:val="20"/>
      <w:szCs w:val="20"/>
    </w:rPr>
  </w:style>
  <w:style w:type="character" w:customStyle="1" w:styleId="TextonotapieCar">
    <w:name w:val="Texto nota pie Car"/>
    <w:basedOn w:val="Fuentedeprrafopredeter"/>
    <w:link w:val="Textonotapie"/>
    <w:uiPriority w:val="99"/>
    <w:rsid w:val="00EA42F7"/>
    <w:rPr>
      <w:rFonts w:ascii="Calibri" w:eastAsia="SimSun" w:hAnsi="Calibri" w:cs="Times New Roman"/>
      <w:sz w:val="20"/>
      <w:szCs w:val="20"/>
      <w:lang w:eastAsia="zh-CN"/>
    </w:rPr>
  </w:style>
  <w:style w:type="character" w:styleId="Refdenotaalpie">
    <w:name w:val="footnote reference"/>
    <w:basedOn w:val="Fuentedeprrafopredeter"/>
    <w:uiPriority w:val="99"/>
    <w:rsid w:val="00EA42F7"/>
    <w:rPr>
      <w:vertAlign w:val="superscript"/>
    </w:rPr>
  </w:style>
  <w:style w:type="table" w:customStyle="1" w:styleId="Tablaconcuadrcula1">
    <w:name w:val="Tabla con cuadrícula1"/>
    <w:basedOn w:val="Tablanormal"/>
    <w:next w:val="Tablaconcuadrcula"/>
    <w:uiPriority w:val="39"/>
    <w:rsid w:val="004D41CF"/>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1E02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baromoye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3855</Words>
  <Characters>21979</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16</cp:revision>
  <dcterms:created xsi:type="dcterms:W3CDTF">2008-01-28T09:00:00Z</dcterms:created>
  <dcterms:modified xsi:type="dcterms:W3CDTF">2025-04-29T22:16:00Z</dcterms:modified>
</cp:coreProperties>
</file>