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9C5E" w14:textId="77777777" w:rsidR="007F658E" w:rsidRPr="001030A9" w:rsidRDefault="00265979" w:rsidP="001030A9">
      <w:pPr>
        <w:spacing w:line="360" w:lineRule="auto"/>
        <w:jc w:val="center"/>
        <w:rPr>
          <w:rFonts w:ascii="Times New Roman" w:eastAsia="Calibri" w:hAnsi="Times New Roman" w:cs="Times New Roman"/>
          <w:bCs/>
          <w:sz w:val="24"/>
          <w:szCs w:val="24"/>
          <w:lang w:val="es-MX"/>
        </w:rPr>
      </w:pPr>
      <w:r w:rsidRPr="001030A9">
        <w:rPr>
          <w:rFonts w:ascii="Times New Roman" w:eastAsia="Calibri" w:hAnsi="Times New Roman" w:cs="Times New Roman"/>
          <w:bCs/>
          <w:sz w:val="24"/>
          <w:szCs w:val="24"/>
          <w:lang w:val="es-MX"/>
        </w:rPr>
        <w:t>Desafíos y perspectivas para la inclusión educativa de educandos con TEA y/o Discapacidad Intelectual</w:t>
      </w:r>
    </w:p>
    <w:p w14:paraId="28839818" w14:textId="77777777" w:rsidR="007F658E" w:rsidRPr="004E60E0" w:rsidRDefault="00265979" w:rsidP="001030A9">
      <w:pPr>
        <w:spacing w:line="360" w:lineRule="auto"/>
        <w:jc w:val="center"/>
        <w:rPr>
          <w:rFonts w:ascii="Times New Roman" w:eastAsia="Calibri" w:hAnsi="Times New Roman" w:cs="Times New Roman"/>
          <w:bCs/>
          <w:sz w:val="24"/>
          <w:szCs w:val="24"/>
          <w:lang w:val="en-US"/>
        </w:rPr>
      </w:pPr>
      <w:r w:rsidRPr="004E60E0">
        <w:rPr>
          <w:rFonts w:ascii="Times New Roman" w:eastAsia="Calibri" w:hAnsi="Times New Roman" w:cs="Times New Roman"/>
          <w:bCs/>
          <w:sz w:val="24"/>
          <w:szCs w:val="24"/>
          <w:lang w:val="en-US"/>
        </w:rPr>
        <w:t>Challenges and perspectives for the educational inclusion of students with ASD and/or Intellectual Disability</w:t>
      </w:r>
    </w:p>
    <w:p w14:paraId="3BC94D34" w14:textId="655C1B91" w:rsidR="007F658E" w:rsidRPr="001030A9" w:rsidRDefault="001030A9">
      <w:pPr>
        <w:widowControl w:val="0"/>
        <w:jc w:val="right"/>
        <w:rPr>
          <w:rFonts w:ascii="Times New Roman" w:hAnsi="Times New Roman" w:cs="Times New Roman"/>
          <w:b/>
          <w:bCs/>
          <w:i/>
          <w:sz w:val="24"/>
          <w:szCs w:val="24"/>
        </w:rPr>
      </w:pPr>
      <w:r w:rsidRPr="001030A9">
        <w:rPr>
          <w:rFonts w:ascii="Times New Roman" w:hAnsi="Times New Roman" w:cs="Times New Roman"/>
          <w:b/>
          <w:bCs/>
          <w:i/>
          <w:sz w:val="24"/>
          <w:szCs w:val="24"/>
        </w:rPr>
        <w:t xml:space="preserve">Artículo de investigación </w:t>
      </w:r>
    </w:p>
    <w:p w14:paraId="34A3A500" w14:textId="77777777" w:rsidR="007F658E" w:rsidRDefault="00265979">
      <w:pPr>
        <w:widowControl w:val="0"/>
        <w:rPr>
          <w:rFonts w:ascii="Times New Roman" w:hAnsi="Times New Roman" w:cs="Times New Roman"/>
          <w:b/>
          <w:sz w:val="28"/>
          <w:szCs w:val="24"/>
        </w:rPr>
      </w:pPr>
      <w:r>
        <w:rPr>
          <w:rFonts w:ascii="Times New Roman" w:hAnsi="Times New Roman" w:cs="Times New Roman"/>
          <w:b/>
          <w:sz w:val="28"/>
          <w:szCs w:val="24"/>
        </w:rPr>
        <w:t>AUTOR:</w:t>
      </w:r>
    </w:p>
    <w:p w14:paraId="04FDB411" w14:textId="55BCF009" w:rsidR="007F658E" w:rsidRPr="00AB1FA0" w:rsidRDefault="00265979" w:rsidP="00AB1FA0">
      <w:pPr>
        <w:widowControl w:val="0"/>
        <w:spacing w:after="0" w:line="360" w:lineRule="auto"/>
        <w:ind w:left="426"/>
        <w:rPr>
          <w:rFonts w:ascii="Times New Roman" w:hAnsi="Times New Roman" w:cs="Times New Roman"/>
          <w:sz w:val="24"/>
          <w:szCs w:val="24"/>
        </w:rPr>
      </w:pPr>
      <w:r w:rsidRPr="00AB1FA0">
        <w:rPr>
          <w:rFonts w:ascii="Times New Roman" w:hAnsi="Times New Roman" w:cs="Times New Roman"/>
          <w:sz w:val="24"/>
          <w:szCs w:val="24"/>
        </w:rPr>
        <w:t>M</w:t>
      </w:r>
      <w:r w:rsidR="001030A9" w:rsidRPr="00AB1FA0">
        <w:rPr>
          <w:rFonts w:ascii="Times New Roman" w:hAnsi="Times New Roman" w:cs="Times New Roman"/>
          <w:sz w:val="24"/>
          <w:szCs w:val="24"/>
        </w:rPr>
        <w:t>. Sc.</w:t>
      </w:r>
      <w:r w:rsidRPr="00AB1FA0">
        <w:rPr>
          <w:rFonts w:ascii="Times New Roman" w:hAnsi="Times New Roman" w:cs="Times New Roman"/>
          <w:sz w:val="24"/>
          <w:szCs w:val="24"/>
        </w:rPr>
        <w:t xml:space="preserve"> Edwin Torres Olivera</w:t>
      </w:r>
      <w:r w:rsidR="001030A9" w:rsidRPr="00AB1FA0">
        <w:rPr>
          <w:rStyle w:val="Refdenotaalpie"/>
          <w:rFonts w:ascii="Times New Roman" w:hAnsi="Times New Roman" w:cs="Times New Roman"/>
          <w:sz w:val="24"/>
          <w:szCs w:val="24"/>
        </w:rPr>
        <w:footnoteReference w:id="1"/>
      </w:r>
    </w:p>
    <w:p w14:paraId="13F19318" w14:textId="01CAF894" w:rsidR="007F658E" w:rsidRPr="00AB1FA0" w:rsidRDefault="00265979" w:rsidP="00AB1FA0">
      <w:pPr>
        <w:widowControl w:val="0"/>
        <w:spacing w:after="0" w:line="360" w:lineRule="auto"/>
        <w:ind w:left="426"/>
        <w:rPr>
          <w:rFonts w:ascii="Times New Roman" w:hAnsi="Times New Roman" w:cs="Times New Roman"/>
          <w:i/>
          <w:sz w:val="24"/>
          <w:szCs w:val="24"/>
        </w:rPr>
      </w:pPr>
      <w:r w:rsidRPr="00AB1FA0">
        <w:rPr>
          <w:rFonts w:ascii="Times New Roman" w:hAnsi="Times New Roman" w:cs="Times New Roman"/>
          <w:i/>
          <w:sz w:val="24"/>
          <w:szCs w:val="24"/>
        </w:rPr>
        <w:t>Correo: edwintorresoliver@gmail.com</w:t>
      </w:r>
    </w:p>
    <w:p w14:paraId="35A4CBEC" w14:textId="77777777" w:rsidR="007F658E" w:rsidRPr="00AB1FA0" w:rsidRDefault="00265979" w:rsidP="00AB1FA0">
      <w:pPr>
        <w:widowControl w:val="0"/>
        <w:spacing w:after="0" w:line="360" w:lineRule="auto"/>
        <w:ind w:left="426"/>
        <w:rPr>
          <w:rFonts w:ascii="Times New Roman" w:hAnsi="Times New Roman" w:cs="Times New Roman"/>
          <w:i/>
          <w:sz w:val="24"/>
          <w:szCs w:val="24"/>
        </w:rPr>
      </w:pPr>
      <w:r w:rsidRPr="00AB1FA0">
        <w:rPr>
          <w:rFonts w:ascii="Times New Roman" w:hAnsi="Times New Roman" w:cs="Times New Roman"/>
          <w:i/>
          <w:sz w:val="24"/>
          <w:szCs w:val="24"/>
        </w:rPr>
        <w:t xml:space="preserve">Código </w:t>
      </w:r>
      <w:proofErr w:type="spellStart"/>
      <w:r w:rsidRPr="00AB1FA0">
        <w:rPr>
          <w:rFonts w:ascii="Times New Roman" w:hAnsi="Times New Roman" w:cs="Times New Roman"/>
          <w:i/>
          <w:sz w:val="24"/>
          <w:szCs w:val="24"/>
        </w:rPr>
        <w:t>orcid</w:t>
      </w:r>
      <w:proofErr w:type="spellEnd"/>
      <w:r w:rsidRPr="00AB1FA0">
        <w:rPr>
          <w:rFonts w:ascii="Times New Roman" w:hAnsi="Times New Roman" w:cs="Times New Roman"/>
          <w:i/>
          <w:sz w:val="24"/>
          <w:szCs w:val="24"/>
        </w:rPr>
        <w:t>:</w:t>
      </w:r>
      <w:r w:rsidRPr="00AB1FA0">
        <w:rPr>
          <w:rFonts w:ascii="Times New Roman" w:hAnsi="Times New Roman" w:cs="Times New Roman"/>
          <w:sz w:val="24"/>
          <w:szCs w:val="24"/>
        </w:rPr>
        <w:t xml:space="preserve"> </w:t>
      </w:r>
      <w:hyperlink r:id="rId7" w:history="1">
        <w:r w:rsidRPr="00AB1FA0">
          <w:rPr>
            <w:rStyle w:val="Hipervnculo"/>
            <w:rFonts w:ascii="Times New Roman" w:hAnsi="Times New Roman" w:cs="Times New Roman"/>
            <w:sz w:val="24"/>
            <w:szCs w:val="24"/>
          </w:rPr>
          <w:t>https://orcid.org/</w:t>
        </w:r>
        <w:r w:rsidRPr="00AB1FA0">
          <w:rPr>
            <w:rStyle w:val="Hipervnculo"/>
            <w:rFonts w:ascii="Times New Roman" w:hAnsi="Times New Roman" w:cs="Times New Roman"/>
            <w:i/>
            <w:sz w:val="24"/>
            <w:szCs w:val="24"/>
          </w:rPr>
          <w:t>0009-0003-8551-9433</w:t>
        </w:r>
      </w:hyperlink>
    </w:p>
    <w:p w14:paraId="0E2FEC29" w14:textId="19116AF4" w:rsidR="007F658E" w:rsidRDefault="00AB1FA0" w:rsidP="00AB1FA0">
      <w:pPr>
        <w:widowControl w:val="0"/>
        <w:spacing w:line="360" w:lineRule="auto"/>
        <w:ind w:left="426"/>
        <w:rPr>
          <w:rFonts w:ascii="Times New Roman" w:hAnsi="Times New Roman" w:cs="Times New Roman"/>
          <w:sz w:val="24"/>
          <w:szCs w:val="24"/>
        </w:rPr>
      </w:pPr>
      <w:r w:rsidRPr="00AB1FA0">
        <w:rPr>
          <w:rFonts w:ascii="Times New Roman" w:hAnsi="Times New Roman" w:cs="Times New Roman"/>
          <w:sz w:val="24"/>
          <w:szCs w:val="24"/>
        </w:rPr>
        <w:t xml:space="preserve">Escuela </w:t>
      </w:r>
      <w:r w:rsidR="00716226">
        <w:rPr>
          <w:rFonts w:ascii="Times New Roman" w:hAnsi="Times New Roman" w:cs="Times New Roman"/>
          <w:sz w:val="24"/>
          <w:szCs w:val="24"/>
        </w:rPr>
        <w:t xml:space="preserve">Especial Frank </w:t>
      </w:r>
      <w:r w:rsidR="002C1C6C">
        <w:rPr>
          <w:rFonts w:ascii="Times New Roman" w:hAnsi="Times New Roman" w:cs="Times New Roman"/>
          <w:sz w:val="24"/>
          <w:szCs w:val="24"/>
        </w:rPr>
        <w:t>País,</w:t>
      </w:r>
      <w:r w:rsidR="00716226">
        <w:rPr>
          <w:rFonts w:ascii="Times New Roman" w:hAnsi="Times New Roman" w:cs="Times New Roman"/>
          <w:sz w:val="24"/>
          <w:szCs w:val="24"/>
        </w:rPr>
        <w:t xml:space="preserve"> municipio 10 de octubre, La Habana, Cuba  </w:t>
      </w:r>
    </w:p>
    <w:p w14:paraId="5EF7941F" w14:textId="2CF758F5" w:rsidR="00716226" w:rsidRPr="004E60E0" w:rsidRDefault="00716226" w:rsidP="00716226">
      <w:pPr>
        <w:widowControl w:val="0"/>
        <w:spacing w:after="0" w:line="360" w:lineRule="auto"/>
        <w:ind w:left="426"/>
        <w:rPr>
          <w:rFonts w:ascii="Times New Roman" w:hAnsi="Times New Roman" w:cs="Times New Roman"/>
          <w:sz w:val="24"/>
          <w:szCs w:val="24"/>
          <w:lang w:val="en-US"/>
        </w:rPr>
      </w:pPr>
      <w:proofErr w:type="spellStart"/>
      <w:r w:rsidRPr="004E60E0">
        <w:rPr>
          <w:rFonts w:ascii="Times New Roman" w:hAnsi="Times New Roman" w:cs="Times New Roman"/>
          <w:sz w:val="24"/>
          <w:szCs w:val="24"/>
          <w:lang w:val="en-US"/>
        </w:rPr>
        <w:t>Dr.C</w:t>
      </w:r>
      <w:proofErr w:type="spellEnd"/>
      <w:r w:rsidRPr="004E60E0">
        <w:rPr>
          <w:rFonts w:ascii="Times New Roman" w:hAnsi="Times New Roman" w:cs="Times New Roman"/>
          <w:sz w:val="24"/>
          <w:szCs w:val="24"/>
          <w:lang w:val="en-US"/>
        </w:rPr>
        <w:t xml:space="preserve">. Yaima </w:t>
      </w:r>
      <w:proofErr w:type="spellStart"/>
      <w:r w:rsidRPr="004E60E0">
        <w:rPr>
          <w:rFonts w:ascii="Times New Roman" w:hAnsi="Times New Roman" w:cs="Times New Roman"/>
          <w:sz w:val="24"/>
          <w:szCs w:val="24"/>
          <w:lang w:val="en-US"/>
        </w:rPr>
        <w:t>Demósthenes</w:t>
      </w:r>
      <w:proofErr w:type="spellEnd"/>
      <w:r w:rsidRPr="004E60E0">
        <w:rPr>
          <w:rFonts w:ascii="Times New Roman" w:hAnsi="Times New Roman" w:cs="Times New Roman"/>
          <w:sz w:val="24"/>
          <w:szCs w:val="24"/>
          <w:lang w:val="en-US"/>
        </w:rPr>
        <w:t xml:space="preserve"> Sterling</w:t>
      </w:r>
      <w:r>
        <w:rPr>
          <w:rStyle w:val="Refdenotaalpie"/>
          <w:rFonts w:ascii="Times New Roman" w:hAnsi="Times New Roman" w:cs="Times New Roman"/>
          <w:sz w:val="24"/>
          <w:szCs w:val="24"/>
        </w:rPr>
        <w:footnoteReference w:id="2"/>
      </w:r>
      <w:r w:rsidRPr="004E60E0">
        <w:rPr>
          <w:rFonts w:ascii="Times New Roman" w:hAnsi="Times New Roman" w:cs="Times New Roman"/>
          <w:sz w:val="24"/>
          <w:szCs w:val="24"/>
          <w:lang w:val="en-US"/>
        </w:rPr>
        <w:t xml:space="preserve"> </w:t>
      </w:r>
    </w:p>
    <w:p w14:paraId="5B85BBF5" w14:textId="6989466F" w:rsidR="00716226" w:rsidRDefault="00716226" w:rsidP="00716226">
      <w:pPr>
        <w:widowControl w:val="0"/>
        <w:spacing w:after="0" w:line="360" w:lineRule="auto"/>
        <w:ind w:left="426"/>
        <w:rPr>
          <w:rFonts w:ascii="Times New Roman" w:hAnsi="Times New Roman" w:cs="Times New Roman"/>
          <w:sz w:val="24"/>
          <w:szCs w:val="24"/>
        </w:rPr>
      </w:pPr>
      <w:r w:rsidRPr="00882C93">
        <w:rPr>
          <w:rFonts w:ascii="Times New Roman" w:hAnsi="Times New Roman" w:cs="Times New Roman"/>
          <w:i/>
          <w:iCs/>
          <w:sz w:val="24"/>
          <w:szCs w:val="24"/>
        </w:rPr>
        <w:t>Correo:</w:t>
      </w:r>
      <w:r>
        <w:rPr>
          <w:rFonts w:ascii="Times New Roman" w:hAnsi="Times New Roman" w:cs="Times New Roman"/>
          <w:sz w:val="24"/>
          <w:szCs w:val="24"/>
        </w:rPr>
        <w:t xml:space="preserve"> </w:t>
      </w:r>
      <w:hyperlink r:id="rId8" w:history="1">
        <w:r w:rsidRPr="00716226">
          <w:t>yaimads@gmail.com</w:t>
        </w:r>
      </w:hyperlink>
      <w:r>
        <w:rPr>
          <w:rFonts w:ascii="Times New Roman" w:hAnsi="Times New Roman" w:cs="Times New Roman"/>
          <w:sz w:val="24"/>
          <w:szCs w:val="24"/>
        </w:rPr>
        <w:t xml:space="preserve"> </w:t>
      </w:r>
    </w:p>
    <w:p w14:paraId="4926DC8F" w14:textId="764ECEDC" w:rsidR="00716226" w:rsidRPr="00AB1FA0" w:rsidRDefault="00716226" w:rsidP="00716226">
      <w:pPr>
        <w:widowControl w:val="0"/>
        <w:spacing w:after="0" w:line="360" w:lineRule="auto"/>
        <w:ind w:left="426"/>
        <w:rPr>
          <w:rFonts w:ascii="Times New Roman" w:hAnsi="Times New Roman" w:cs="Times New Roman"/>
          <w:sz w:val="24"/>
          <w:szCs w:val="24"/>
        </w:rPr>
      </w:pPr>
      <w:r w:rsidRPr="00882C93">
        <w:rPr>
          <w:rFonts w:ascii="Times New Roman" w:hAnsi="Times New Roman" w:cs="Times New Roman"/>
          <w:i/>
          <w:iCs/>
          <w:sz w:val="24"/>
          <w:szCs w:val="24"/>
        </w:rPr>
        <w:t xml:space="preserve">Código </w:t>
      </w:r>
      <w:proofErr w:type="spellStart"/>
      <w:r w:rsidRPr="00882C93">
        <w:rPr>
          <w:rFonts w:ascii="Times New Roman" w:hAnsi="Times New Roman" w:cs="Times New Roman"/>
          <w:i/>
          <w:iCs/>
          <w:sz w:val="24"/>
          <w:szCs w:val="24"/>
        </w:rPr>
        <w:t>orcid</w:t>
      </w:r>
      <w:proofErr w:type="spellEnd"/>
      <w:r w:rsidRPr="00882C93">
        <w:rPr>
          <w:rFonts w:ascii="Times New Roman" w:hAnsi="Times New Roman" w:cs="Times New Roman"/>
          <w:i/>
          <w:iCs/>
          <w:sz w:val="24"/>
          <w:szCs w:val="24"/>
        </w:rPr>
        <w:t>:</w:t>
      </w:r>
      <w:r w:rsidRPr="00716226">
        <w:rPr>
          <w:rFonts w:ascii="Times New Roman" w:hAnsi="Times New Roman" w:cs="Times New Roman"/>
          <w:sz w:val="24"/>
          <w:szCs w:val="24"/>
        </w:rPr>
        <w:t xml:space="preserve"> </w:t>
      </w:r>
      <w:hyperlink r:id="rId9" w:tgtFrame="_blank" w:history="1">
        <w:r w:rsidRPr="00716226">
          <w:rPr>
            <w:rFonts w:ascii="Times New Roman" w:hAnsi="Times New Roman" w:cs="Times New Roman"/>
            <w:sz w:val="24"/>
            <w:szCs w:val="24"/>
          </w:rPr>
          <w:t xml:space="preserve">https://orcid.org/0000-0002-0506-0374 </w:t>
        </w:r>
      </w:hyperlink>
    </w:p>
    <w:p w14:paraId="5F83A90D" w14:textId="77777777" w:rsidR="007F658E" w:rsidRDefault="007F658E">
      <w:pPr>
        <w:widowControl w:val="0"/>
        <w:spacing w:after="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7F658E" w14:paraId="543ADB19" w14:textId="77777777">
        <w:tc>
          <w:tcPr>
            <w:tcW w:w="2942" w:type="dxa"/>
            <w:shd w:val="clear" w:color="auto" w:fill="00B0F0"/>
          </w:tcPr>
          <w:p w14:paraId="58F92E7D" w14:textId="77777777" w:rsidR="007F658E" w:rsidRDefault="00265979">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6A795849" w14:textId="77777777" w:rsidR="007F658E" w:rsidRDefault="00265979">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4C3CD16B" w14:textId="77777777" w:rsidR="007F658E" w:rsidRDefault="00265979">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7F658E" w14:paraId="5F2CDC3D" w14:textId="77777777">
        <w:tc>
          <w:tcPr>
            <w:tcW w:w="2942" w:type="dxa"/>
          </w:tcPr>
          <w:p w14:paraId="70F43721" w14:textId="406F8EA6" w:rsidR="007F658E" w:rsidRDefault="001030A9">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junio de 2024</w:t>
            </w:r>
          </w:p>
        </w:tc>
        <w:tc>
          <w:tcPr>
            <w:tcW w:w="2943" w:type="dxa"/>
          </w:tcPr>
          <w:p w14:paraId="63F3E027" w14:textId="1A398C4E" w:rsidR="007F658E" w:rsidRDefault="001030A9">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agosto de 2024</w:t>
            </w:r>
          </w:p>
        </w:tc>
        <w:tc>
          <w:tcPr>
            <w:tcW w:w="2943" w:type="dxa"/>
          </w:tcPr>
          <w:p w14:paraId="1DEB190D" w14:textId="7E673BBA" w:rsidR="007F658E" w:rsidRDefault="001030A9">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septiembre de 2024</w:t>
            </w:r>
          </w:p>
        </w:tc>
      </w:tr>
    </w:tbl>
    <w:p w14:paraId="570A0C2A" w14:textId="77777777" w:rsidR="007F658E" w:rsidRDefault="007F658E">
      <w:pPr>
        <w:widowControl w:val="0"/>
        <w:rPr>
          <w:rFonts w:ascii="Times New Roman" w:hAnsi="Times New Roman" w:cs="Times New Roman"/>
          <w:sz w:val="24"/>
        </w:rPr>
      </w:pPr>
    </w:p>
    <w:p w14:paraId="378198B3" w14:textId="77777777" w:rsidR="007F658E" w:rsidRDefault="00265979">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01CBE505"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inclusión educativa como categoría que condiciona la atención de calidad a la diversidad ha avanzado significativamente. Los avances a nivel global han impactado en el Sistema Nacional de Educación en Cuba y desde la concepción de una educación para todos. La atención de educandos con Trastorno del Espectro de Autismo (TEA) y Discapacidad Intelectual (DI) deviene en reto en </w:t>
      </w:r>
      <w:r>
        <w:rPr>
          <w:rFonts w:ascii="Times New Roman" w:eastAsia="Calibri" w:hAnsi="Times New Roman" w:cs="Times New Roman"/>
          <w:sz w:val="24"/>
          <w:szCs w:val="24"/>
        </w:rPr>
        <w:lastRenderedPageBreak/>
        <w:t xml:space="preserve">las condiciones actuales. Analizar los desafíos para la inclusión plena de estos educandos se convierte en la guía del presente artículo, desarrollado a partir del uso de métodos científicos en el marco del proyecto </w:t>
      </w:r>
      <w:bookmarkStart w:id="0" w:name="_Hlk194183745"/>
      <w:r>
        <w:rPr>
          <w:rFonts w:ascii="Arial" w:eastAsia="Times New Roman" w:hAnsi="Arial" w:cs="Arial"/>
          <w:b/>
          <w:sz w:val="24"/>
          <w:szCs w:val="24"/>
          <w:lang w:eastAsia="es-ES"/>
        </w:rPr>
        <w:t>“</w:t>
      </w:r>
      <w:r>
        <w:rPr>
          <w:rFonts w:ascii="Times New Roman" w:eastAsia="Calibri" w:hAnsi="Times New Roman" w:cs="Times New Roman"/>
          <w:sz w:val="24"/>
          <w:szCs w:val="24"/>
        </w:rPr>
        <w:t xml:space="preserve">Orientación y educación a familias y docentes del sector rural y zonas vulnerables para la inclusión educativa de los niños con discapacidad.” </w:t>
      </w:r>
      <w:bookmarkEnd w:id="0"/>
      <w:r>
        <w:rPr>
          <w:rFonts w:ascii="Times New Roman" w:eastAsia="Calibri" w:hAnsi="Times New Roman" w:cs="Times New Roman"/>
          <w:sz w:val="24"/>
          <w:szCs w:val="24"/>
        </w:rPr>
        <w:t>Este resultado se desarrolla sobre los preceptos de que la inclusión educativa no solo beneficia a los estudiantes con NEE, sino que enriquece todos los contextos educativos, promoviendo valores de diversidad y respeto.</w:t>
      </w:r>
    </w:p>
    <w:p w14:paraId="061DAA11" w14:textId="48C22F1F" w:rsidR="007F658E" w:rsidRDefault="00265979">
      <w:pPr>
        <w:widowControl w:val="0"/>
        <w:spacing w:line="360" w:lineRule="auto"/>
        <w:jc w:val="both"/>
        <w:rPr>
          <w:rFonts w:ascii="Times New Roman" w:eastAsia="Calibri" w:hAnsi="Times New Roman" w:cs="Times New Roman"/>
          <w:sz w:val="24"/>
          <w:szCs w:val="24"/>
        </w:rPr>
      </w:pPr>
      <w:r w:rsidRPr="00AB1FA0">
        <w:rPr>
          <w:rFonts w:ascii="Times New Roman" w:eastAsia="Calibri" w:hAnsi="Times New Roman" w:cs="Times New Roman"/>
          <w:i/>
          <w:iCs/>
          <w:sz w:val="24"/>
          <w:szCs w:val="24"/>
        </w:rPr>
        <w:t>Palabras clave</w:t>
      </w:r>
      <w:r>
        <w:rPr>
          <w:rFonts w:ascii="Times New Roman" w:eastAsia="Calibri" w:hAnsi="Times New Roman" w:cs="Times New Roman"/>
          <w:sz w:val="24"/>
          <w:szCs w:val="24"/>
        </w:rPr>
        <w:t>:</w:t>
      </w:r>
      <w:r>
        <w:rPr>
          <w:rFonts w:ascii="Segoe UI" w:eastAsia="Times New Roman" w:hAnsi="Segoe UI" w:cs="Segoe UI"/>
          <w:color w:val="242424"/>
          <w:sz w:val="21"/>
          <w:szCs w:val="21"/>
          <w:lang w:eastAsia="es-ES"/>
        </w:rPr>
        <w:t xml:space="preserve"> </w:t>
      </w:r>
      <w:r>
        <w:rPr>
          <w:rFonts w:ascii="Times New Roman" w:eastAsia="Calibri" w:hAnsi="Times New Roman" w:cs="Times New Roman"/>
          <w:sz w:val="24"/>
          <w:szCs w:val="24"/>
        </w:rPr>
        <w:t>inclusión educativa; desafíos educativos, Trastorno del Espectro de Autismo (TEA); Discapacidad Intelectual (DI)</w:t>
      </w:r>
    </w:p>
    <w:p w14:paraId="3B11F8F6" w14:textId="77777777" w:rsidR="007F658E" w:rsidRPr="004E60E0" w:rsidRDefault="00265979">
      <w:pPr>
        <w:widowControl w:val="0"/>
        <w:spacing w:line="360" w:lineRule="auto"/>
        <w:rPr>
          <w:rFonts w:ascii="Times New Roman" w:eastAsia="Calibri" w:hAnsi="Times New Roman" w:cs="Times New Roman"/>
          <w:b/>
          <w:bCs/>
          <w:sz w:val="28"/>
          <w:szCs w:val="24"/>
          <w:lang w:val="en-US"/>
        </w:rPr>
      </w:pPr>
      <w:r w:rsidRPr="004E60E0">
        <w:rPr>
          <w:rFonts w:ascii="Times New Roman" w:eastAsia="Calibri" w:hAnsi="Times New Roman" w:cs="Times New Roman"/>
          <w:b/>
          <w:bCs/>
          <w:sz w:val="28"/>
          <w:szCs w:val="24"/>
          <w:lang w:val="en-US"/>
        </w:rPr>
        <w:t>Abstract</w:t>
      </w:r>
    </w:p>
    <w:p w14:paraId="3B88DB56" w14:textId="77777777" w:rsidR="007F658E" w:rsidRPr="004E60E0" w:rsidRDefault="00265979">
      <w:pPr>
        <w:widowControl w:val="0"/>
        <w:spacing w:line="360" w:lineRule="auto"/>
        <w:jc w:val="both"/>
        <w:rPr>
          <w:rFonts w:ascii="Times New Roman" w:eastAsia="Calibri" w:hAnsi="Times New Roman" w:cs="Times New Roman"/>
          <w:sz w:val="24"/>
          <w:szCs w:val="24"/>
          <w:lang w:val="en-US"/>
        </w:rPr>
      </w:pPr>
      <w:r w:rsidRPr="004E60E0">
        <w:rPr>
          <w:rFonts w:ascii="Times New Roman" w:eastAsia="Calibri" w:hAnsi="Times New Roman" w:cs="Times New Roman"/>
          <w:bCs/>
          <w:sz w:val="24"/>
          <w:szCs w:val="24"/>
          <w:lang w:val="en-US"/>
        </w:rPr>
        <w:t xml:space="preserve">Educational inclusion as a category that conditions quality attention to diversity has advanced significantly. Advances at the global level have had an impact on the National Education System in Cuba and since the conception of one of an education for all. The care of students with </w:t>
      </w:r>
      <w:proofErr w:type="gramStart"/>
      <w:r w:rsidRPr="004E60E0">
        <w:rPr>
          <w:rFonts w:ascii="Times New Roman" w:eastAsia="Calibri" w:hAnsi="Times New Roman" w:cs="Times New Roman"/>
          <w:bCs/>
          <w:sz w:val="24"/>
          <w:szCs w:val="24"/>
          <w:lang w:val="en-US"/>
        </w:rPr>
        <w:t>Autism Spectrum Disorder</w:t>
      </w:r>
      <w:proofErr w:type="gramEnd"/>
      <w:r w:rsidRPr="004E60E0">
        <w:rPr>
          <w:rFonts w:ascii="Times New Roman" w:eastAsia="Calibri" w:hAnsi="Times New Roman" w:cs="Times New Roman"/>
          <w:bCs/>
          <w:sz w:val="24"/>
          <w:szCs w:val="24"/>
          <w:lang w:val="en-US"/>
        </w:rPr>
        <w:t xml:space="preserve"> (ASD) and Intellectual Disability (ID) becomes a challenge in the current conditions. Analyzing the challenges for the full inclusion of these students becomes the guide of this article, developed from the use of scientific methods within the framework of the project "Guidance and education for families and teachers in the rural sector and vulnerable areas for the educational inclusion of children with disabilities." This result is developed on the precepts that educational inclusion not only benefits students with special educational needs, but also enriches all educational contexts by promoting values of diversity and respect.</w:t>
      </w:r>
      <w:r w:rsidRPr="004E60E0">
        <w:rPr>
          <w:rFonts w:ascii="Times New Roman" w:eastAsia="Calibri" w:hAnsi="Times New Roman" w:cs="Times New Roman"/>
          <w:bCs/>
          <w:sz w:val="24"/>
          <w:szCs w:val="24"/>
          <w:lang w:val="en-US"/>
        </w:rPr>
        <w:br/>
      </w:r>
      <w:r w:rsidRPr="004E60E0">
        <w:rPr>
          <w:rFonts w:ascii="Times New Roman" w:eastAsia="Calibri" w:hAnsi="Times New Roman" w:cs="Times New Roman"/>
          <w:i/>
          <w:iCs/>
          <w:sz w:val="24"/>
          <w:szCs w:val="24"/>
          <w:lang w:val="en-US"/>
        </w:rPr>
        <w:t>Keywords:</w:t>
      </w:r>
      <w:r w:rsidRPr="004E60E0">
        <w:rPr>
          <w:rFonts w:ascii="Times New Roman" w:eastAsia="Calibri" w:hAnsi="Times New Roman" w:cs="Times New Roman"/>
          <w:sz w:val="24"/>
          <w:szCs w:val="24"/>
          <w:lang w:val="en-US"/>
        </w:rPr>
        <w:t xml:space="preserve"> educational inclusion; educational challenges, </w:t>
      </w:r>
      <w:proofErr w:type="gramStart"/>
      <w:r w:rsidRPr="004E60E0">
        <w:rPr>
          <w:rFonts w:ascii="Times New Roman" w:eastAsia="Calibri" w:hAnsi="Times New Roman" w:cs="Times New Roman"/>
          <w:sz w:val="24"/>
          <w:szCs w:val="24"/>
          <w:lang w:val="en-US"/>
        </w:rPr>
        <w:t>Autism Spectrum Disorder</w:t>
      </w:r>
      <w:proofErr w:type="gramEnd"/>
      <w:r w:rsidRPr="004E60E0">
        <w:rPr>
          <w:rFonts w:ascii="Times New Roman" w:eastAsia="Calibri" w:hAnsi="Times New Roman" w:cs="Times New Roman"/>
          <w:sz w:val="24"/>
          <w:szCs w:val="24"/>
          <w:lang w:val="en-US"/>
        </w:rPr>
        <w:t xml:space="preserve"> (ASD); Intellectual Disability (ID)</w:t>
      </w:r>
    </w:p>
    <w:p w14:paraId="0C5344F7" w14:textId="77777777" w:rsidR="007F658E" w:rsidRDefault="00265979">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INTRODUCCIÓN</w:t>
      </w:r>
    </w:p>
    <w:p w14:paraId="71897F96" w14:textId="77777777" w:rsidR="007F658E" w:rsidRDefault="00265979">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El contexto actual se caracteriza por grandes desafíos que impactan en el contexto educativo, entre </w:t>
      </w:r>
      <w:r>
        <w:rPr>
          <w:rFonts w:ascii="Times New Roman" w:eastAsia="Calibri" w:hAnsi="Times New Roman" w:cs="Times New Roman"/>
          <w:bCs/>
          <w:sz w:val="24"/>
          <w:szCs w:val="24"/>
          <w:lang w:val="es-MX"/>
        </w:rPr>
        <w:lastRenderedPageBreak/>
        <w:t xml:space="preserve">ellos el incremento de las desigualdades </w:t>
      </w:r>
      <w:proofErr w:type="spellStart"/>
      <w:r>
        <w:rPr>
          <w:rFonts w:ascii="Times New Roman" w:eastAsia="Calibri" w:hAnsi="Times New Roman" w:cs="Times New Roman"/>
          <w:bCs/>
          <w:sz w:val="24"/>
          <w:szCs w:val="24"/>
          <w:lang w:val="es-MX"/>
        </w:rPr>
        <w:t>socieconómicas</w:t>
      </w:r>
      <w:proofErr w:type="spellEnd"/>
      <w:r>
        <w:rPr>
          <w:rFonts w:ascii="Times New Roman" w:eastAsia="Calibri" w:hAnsi="Times New Roman" w:cs="Times New Roman"/>
          <w:bCs/>
          <w:sz w:val="24"/>
          <w:szCs w:val="24"/>
          <w:lang w:val="es-MX"/>
        </w:rPr>
        <w:t>, la rápida transformación digital, la urgencia climática y la necesidad de desarrollar habilidades del siglo XXI.</w:t>
      </w:r>
      <w:r>
        <w:t xml:space="preserve"> </w:t>
      </w:r>
      <w:r>
        <w:rPr>
          <w:rFonts w:ascii="Times New Roman" w:eastAsia="Calibri" w:hAnsi="Times New Roman" w:cs="Times New Roman"/>
          <w:bCs/>
          <w:sz w:val="24"/>
          <w:szCs w:val="24"/>
          <w:lang w:val="es-MX"/>
        </w:rPr>
        <w:t>Ante estos y otros retos, la educación juega un papel fundamental, con vistas a formar hombres de futuro, atemperados a una sociedad con mayores demandas profesionales, sociales y de convivencia, en la que no se puede perder de vista los valores humanos y el respeto por las diferencias.</w:t>
      </w:r>
    </w:p>
    <w:p w14:paraId="42F07EC0" w14:textId="77777777" w:rsidR="007F658E" w:rsidRDefault="00265979">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rPr>
        <w:t xml:space="preserve">Desde este enfoque educativo la educación asume un rol de transformación social, busca el desarrollo de entornos de aprendizaje equitativos, fomentando la convivencia pacífica y la cohesión social, sin distinciones o exclusiones de ninguna índole. </w:t>
      </w:r>
      <w:r>
        <w:rPr>
          <w:rFonts w:ascii="Times New Roman" w:eastAsia="Calibri" w:hAnsi="Times New Roman" w:cs="Times New Roman"/>
          <w:bCs/>
          <w:sz w:val="24"/>
          <w:szCs w:val="24"/>
          <w:lang w:val="es-MX"/>
        </w:rPr>
        <w:t xml:space="preserve">En el contexto educativo cubano, reconocido por su compromiso con la equidad y el acceso universal a la educación, la inclusión educativa representa un desafío y una oportunidad para fortalecer un sistema que históricamente ha priorizado la atención diferenciada y pondera la individualización de la enseñanza. </w:t>
      </w:r>
    </w:p>
    <w:p w14:paraId="1F3B5CE6" w14:textId="77777777" w:rsidR="007F658E" w:rsidRDefault="00265979">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Cuba, como fortaleza, posee una educación especial que funciona como centros de recursos y apoyos, con una vasta experiencia profesional en una amplia red de instituciones específicas y modalidades de atención. A pesar de ello, convierte los desafíos en oportunidades de crecimiento humano y profesional, no obstante, el logro de transformar realidades educativas durante un período de crisis como es el escenario cubano actual exige de creatividad y persistencia, pero sobre todo de un alto compromiso y preparación profesional. </w:t>
      </w:r>
    </w:p>
    <w:p w14:paraId="4367B287" w14:textId="77777777" w:rsidR="007F658E" w:rsidRDefault="00265979">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En este marco, robustecer las alianzas entre los agentes educativos, consolidar las habilidades pedagógicas para la diversidad en el propio contexto de la educación especial y utilizar estas para potenciar los entornos regulares son algunas realidades a las que se dedica gran empeño. Este propósito se refleja de forma precisa en las políticas educativas que se adoptan, las que se alinean con la Agenda 2030 para el Desarrollo Sostenible, específicamente con el Objetivo número 4 (ODS 4): Garantizar una educación inclusiva, equitativa y de calidad y promover oportunidades de aprendizaje durante toda la vida para todos.</w:t>
      </w:r>
      <w:r>
        <w:rPr>
          <w:rStyle w:val="Refdenotaalpie"/>
          <w:rFonts w:ascii="Times New Roman" w:eastAsia="Calibri" w:hAnsi="Times New Roman" w:cs="Times New Roman"/>
          <w:bCs/>
          <w:sz w:val="24"/>
          <w:szCs w:val="24"/>
          <w:lang w:val="es-MX"/>
        </w:rPr>
        <w:t xml:space="preserve"> </w:t>
      </w:r>
      <w:r>
        <w:rPr>
          <w:rFonts w:ascii="Times New Roman" w:eastAsia="Calibri" w:hAnsi="Times New Roman" w:cs="Times New Roman"/>
          <w:bCs/>
          <w:sz w:val="24"/>
          <w:szCs w:val="24"/>
          <w:lang w:val="es-MX"/>
        </w:rPr>
        <w:t>(</w:t>
      </w:r>
      <w:r>
        <w:t xml:space="preserve">UNESCO,2020). </w:t>
      </w:r>
    </w:p>
    <w:p w14:paraId="7C38D01D" w14:textId="77777777" w:rsidR="007F658E" w:rsidRDefault="00265979">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lastRenderedPageBreak/>
        <w:t xml:space="preserve">Se reconoce, que el sistema educativo cubano está diseñado para todos, del mismo modo se hace evidente que para lograr los resultados previstos existen </w:t>
      </w:r>
      <w:r>
        <w:rPr>
          <w:rFonts w:ascii="Times New Roman" w:eastAsia="Calibri" w:hAnsi="Times New Roman" w:cs="Times New Roman"/>
          <w:bCs/>
          <w:sz w:val="24"/>
          <w:szCs w:val="24"/>
        </w:rPr>
        <w:t>necesidad</w:t>
      </w:r>
      <w:r>
        <w:rPr>
          <w:rFonts w:ascii="Times New Roman" w:eastAsia="Calibri" w:hAnsi="Times New Roman" w:cs="Times New Roman"/>
          <w:bCs/>
          <w:sz w:val="24"/>
          <w:szCs w:val="24"/>
          <w:lang w:val="es-MX"/>
        </w:rPr>
        <w:t>es manifiestas en</w:t>
      </w:r>
      <w:r>
        <w:rPr>
          <w:rFonts w:ascii="Times New Roman" w:eastAsia="Calibri" w:hAnsi="Times New Roman" w:cs="Times New Roman"/>
          <w:bCs/>
          <w:sz w:val="24"/>
          <w:szCs w:val="24"/>
        </w:rPr>
        <w:t xml:space="preserve"> la formación continua para los docentes, la adaptación del currículo y la implementación de estrategias pedagógicas que respondan a sus necesidades específicas (Pérez Serrano, E. A., &amp; Hernández Ochoa, E. M. 2020). </w:t>
      </w:r>
      <w:r>
        <w:rPr>
          <w:rFonts w:ascii="Times New Roman" w:eastAsia="Calibri" w:hAnsi="Times New Roman" w:cs="Times New Roman"/>
          <w:bCs/>
          <w:sz w:val="24"/>
          <w:szCs w:val="24"/>
          <w:lang w:val="es-MX"/>
        </w:rPr>
        <w:t>También es necesario fortalecer, la colaboración entre docentes, familias y agentes de la comunidad</w:t>
      </w:r>
      <w:r>
        <w:rPr>
          <w:rFonts w:ascii="Times New Roman" w:eastAsia="Calibri" w:hAnsi="Times New Roman" w:cs="Times New Roman"/>
          <w:bCs/>
          <w:sz w:val="24"/>
          <w:szCs w:val="24"/>
        </w:rPr>
        <w:t>. Además, es fundamental que las políticas inclusivas se integren en un marco más amplio de desarrollo sostenible, que considere factores económicos, sociales, culturales y con vistas al futuro.</w:t>
      </w:r>
      <w:r>
        <w:t xml:space="preserve"> (</w:t>
      </w:r>
      <w:r>
        <w:rPr>
          <w:rFonts w:ascii="Times New Roman" w:eastAsia="Calibri" w:hAnsi="Times New Roman" w:cs="Times New Roman"/>
          <w:bCs/>
          <w:sz w:val="24"/>
          <w:szCs w:val="24"/>
        </w:rPr>
        <w:t xml:space="preserve">García </w:t>
      </w:r>
      <w:proofErr w:type="spellStart"/>
      <w:r>
        <w:rPr>
          <w:rFonts w:ascii="Times New Roman" w:eastAsia="Calibri" w:hAnsi="Times New Roman" w:cs="Times New Roman"/>
          <w:bCs/>
          <w:sz w:val="24"/>
          <w:szCs w:val="24"/>
        </w:rPr>
        <w:t>Torrell</w:t>
      </w:r>
      <w:proofErr w:type="spellEnd"/>
      <w:r>
        <w:rPr>
          <w:rFonts w:ascii="Times New Roman" w:eastAsia="Calibri" w:hAnsi="Times New Roman" w:cs="Times New Roman"/>
          <w:bCs/>
          <w:sz w:val="24"/>
          <w:szCs w:val="24"/>
        </w:rPr>
        <w:t xml:space="preserve">, I. C., &amp; Tamayo Collado, J., 2018). </w:t>
      </w:r>
    </w:p>
    <w:p w14:paraId="2A94D808" w14:textId="77777777" w:rsidR="007F658E" w:rsidRDefault="00265979">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El logro de los objetivos propuestos, lograr un sistema educativo más inclusivo, más equitativo, como indicadores de educación de calidad, requerirá además una transformación de los modos de actuación de la comunidad educativa en todos y cada uno de los escenarios educativos. De manera recurrente, la realidad muestra una disparidad entre el ideal y la práctica, entre las políticas establecidas y las realidades, especialmente para aquellos educandos que desde su desarrollo atípico presentan una necesidad educativa especial asociada o no a discapacidad. </w:t>
      </w:r>
    </w:p>
    <w:p w14:paraId="2B30692C" w14:textId="77777777" w:rsidR="007F658E" w:rsidRDefault="00265979">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 xml:space="preserve">En el caso de los educandos con Trastorno del Espectro </w:t>
      </w:r>
      <w:r>
        <w:rPr>
          <w:rFonts w:ascii="Times New Roman" w:eastAsia="Calibri" w:hAnsi="Times New Roman" w:cs="Times New Roman"/>
          <w:bCs/>
          <w:sz w:val="24"/>
          <w:szCs w:val="24"/>
        </w:rPr>
        <w:t xml:space="preserve">de </w:t>
      </w:r>
      <w:proofErr w:type="spellStart"/>
      <w:r>
        <w:rPr>
          <w:rFonts w:ascii="Times New Roman" w:eastAsia="Calibri" w:hAnsi="Times New Roman" w:cs="Times New Roman"/>
          <w:bCs/>
          <w:sz w:val="24"/>
          <w:szCs w:val="24"/>
          <w:lang w:val="es-MX"/>
        </w:rPr>
        <w:t>Auti</w:t>
      </w:r>
      <w:r>
        <w:rPr>
          <w:rFonts w:ascii="Times New Roman" w:eastAsia="Calibri" w:hAnsi="Times New Roman" w:cs="Times New Roman"/>
          <w:bCs/>
          <w:sz w:val="24"/>
          <w:szCs w:val="24"/>
        </w:rPr>
        <w:t>smo</w:t>
      </w:r>
      <w:proofErr w:type="spellEnd"/>
      <w:r>
        <w:rPr>
          <w:rFonts w:ascii="Times New Roman" w:eastAsia="Calibri" w:hAnsi="Times New Roman" w:cs="Times New Roman"/>
          <w:bCs/>
          <w:sz w:val="24"/>
          <w:szCs w:val="24"/>
          <w:lang w:val="es-MX"/>
        </w:rPr>
        <w:t xml:space="preserve"> (TEA) y/o Discapacidad Intelectual (DI) los restos profesionales se incrementan y se convierten en oportunidades a favor del crecimiento humano. La inclusión educativa de estos educandos no es simplemente una cuestión de justicia social, se convierte en un imperativo pedagógico que beneficia a toda la comunidad educativa. </w:t>
      </w:r>
    </w:p>
    <w:p w14:paraId="7B3F94A6" w14:textId="77777777" w:rsidR="007F658E" w:rsidRDefault="00265979">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es-MX"/>
        </w:rPr>
        <w:t xml:space="preserve">Desde esta perspectiva, este artículo </w:t>
      </w:r>
      <w:r>
        <w:rPr>
          <w:rFonts w:ascii="Times New Roman" w:eastAsia="Calibri" w:hAnsi="Times New Roman" w:cs="Times New Roman"/>
          <w:bCs/>
          <w:sz w:val="24"/>
          <w:szCs w:val="24"/>
        </w:rPr>
        <w:t>explora los desafíos actuales de la educación inclusiva para los educandos con TEA y/o DI, destaca la importancia de la atención educativa con la participación de docentes, familias y agentes de la comunidad como una forma de contribuir al logro de una educación de calidad.</w:t>
      </w:r>
    </w:p>
    <w:p w14:paraId="51369213" w14:textId="77777777" w:rsidR="007F658E" w:rsidRDefault="00265979">
      <w:pPr>
        <w:widowControl w:val="0"/>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Desarrollo</w:t>
      </w:r>
    </w:p>
    <w:p w14:paraId="4086CFB6" w14:textId="77777777" w:rsidR="007F658E" w:rsidRDefault="002659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partir del uso del materialismo-dialéctico como enfoque metodológico principal se emplearon:  </w:t>
      </w:r>
    </w:p>
    <w:p w14:paraId="0EDB5A27" w14:textId="77777777" w:rsidR="007F658E" w:rsidRPr="00AB1FA0" w:rsidRDefault="00265979">
      <w:pPr>
        <w:spacing w:after="0" w:line="360" w:lineRule="auto"/>
        <w:jc w:val="both"/>
        <w:rPr>
          <w:rFonts w:ascii="Times New Roman" w:hAnsi="Times New Roman" w:cs="Times New Roman"/>
          <w:bCs/>
          <w:sz w:val="24"/>
          <w:szCs w:val="24"/>
        </w:rPr>
      </w:pPr>
      <w:r w:rsidRPr="00AB1FA0">
        <w:rPr>
          <w:rFonts w:ascii="Times New Roman" w:hAnsi="Times New Roman" w:cs="Times New Roman"/>
          <w:bCs/>
          <w:sz w:val="24"/>
          <w:szCs w:val="24"/>
        </w:rPr>
        <w:t>Métodos del nivel teórico, Histórico-lógico: facilitó profundizar en los antecedentes del objeto que se investiga y su evolución histórica desde diferentes posiciones teóricas para la construcción del análisis crítico que se realiza. Analítico-sintético: permitió el estudio de la preparación que tienen los agentes educativos de los entornos regulares para asumir la atención educativa de educandos con TEA y/o DI en los diferentes niveles educativos. Inductivo-deductivo: permitió desde el análisis de lo singular llegar a valoraciones generales, analizar otras formulaciones teóricas y arribar a conclusiones lógicas para proyectar y valorar los resultados del accionar</w:t>
      </w:r>
    </w:p>
    <w:p w14:paraId="101E4644" w14:textId="77777777" w:rsidR="007F658E" w:rsidRPr="00AB1FA0" w:rsidRDefault="00265979">
      <w:pPr>
        <w:spacing w:after="0" w:line="360" w:lineRule="auto"/>
        <w:jc w:val="both"/>
        <w:rPr>
          <w:rFonts w:ascii="Times New Roman" w:hAnsi="Times New Roman" w:cs="Times New Roman"/>
          <w:bCs/>
          <w:sz w:val="24"/>
          <w:szCs w:val="24"/>
        </w:rPr>
      </w:pPr>
      <w:r w:rsidRPr="00AB1FA0">
        <w:rPr>
          <w:rFonts w:ascii="Times New Roman" w:hAnsi="Times New Roman" w:cs="Times New Roman"/>
          <w:bCs/>
          <w:sz w:val="24"/>
          <w:szCs w:val="24"/>
        </w:rPr>
        <w:t xml:space="preserve">De los métodos del nivel empírico se utilizó la Encuesta: facilitó </w:t>
      </w:r>
      <w:bookmarkStart w:id="1" w:name="_Hlk193660384"/>
      <w:r w:rsidRPr="00AB1FA0">
        <w:rPr>
          <w:rFonts w:ascii="Times New Roman" w:hAnsi="Times New Roman" w:cs="Times New Roman"/>
          <w:bCs/>
          <w:sz w:val="24"/>
          <w:szCs w:val="24"/>
        </w:rPr>
        <w:t>conocer el dominio teórico-metodológico de los agentes educativos en los diferentes niveles sobre el TEA y la DI, así como las especificidades para una atención educativa integral de calidad</w:t>
      </w:r>
      <w:bookmarkEnd w:id="1"/>
      <w:r w:rsidRPr="00AB1FA0">
        <w:rPr>
          <w:rFonts w:ascii="Times New Roman" w:hAnsi="Times New Roman" w:cs="Times New Roman"/>
          <w:bCs/>
          <w:sz w:val="24"/>
          <w:szCs w:val="24"/>
        </w:rPr>
        <w:t>, la Entrevista grupal: facilitó profundizar en los criterios expuestos por los agentes educativos en los diferentes niveles sobre el TEA y la DI, así como las especificidades para una atención de calidad y  la Observación: se empleó durante las actividades realizadas con docentes y familias para constatar el dominio teórico-metodológico sobre el TEA y la DI, de los agentes educativos en los diferentes niveles educativos así como las especificidades para una atención de calidad como elemento condicionante de la inclusión educativa.</w:t>
      </w:r>
    </w:p>
    <w:p w14:paraId="747A45BD" w14:textId="77777777" w:rsidR="007F658E" w:rsidRPr="00AB1FA0" w:rsidRDefault="002659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indagaciones se realizaron en el marco del proyecto “Orientación y educación a familias y docentes del sector rural y zonas vulnerables para la inclusión educativa de los niños con discapacidad.” con el fin de profundizar en las condiciones actuales del sistema educativo cubano </w:t>
      </w:r>
      <w:r w:rsidRPr="00AB1FA0">
        <w:rPr>
          <w:rFonts w:ascii="Times New Roman" w:hAnsi="Times New Roman" w:cs="Times New Roman"/>
          <w:sz w:val="24"/>
          <w:szCs w:val="24"/>
        </w:rPr>
        <w:t xml:space="preserve">para asumir los retos de una educación de mayor calidad. </w:t>
      </w:r>
    </w:p>
    <w:p w14:paraId="11D255DB" w14:textId="77777777" w:rsidR="007F658E" w:rsidRPr="00AB1FA0" w:rsidRDefault="00265979">
      <w:pPr>
        <w:spacing w:after="0" w:line="360" w:lineRule="auto"/>
        <w:jc w:val="both"/>
        <w:rPr>
          <w:rFonts w:ascii="Times New Roman" w:hAnsi="Times New Roman" w:cs="Times New Roman"/>
          <w:sz w:val="24"/>
          <w:szCs w:val="24"/>
        </w:rPr>
      </w:pPr>
      <w:r w:rsidRPr="00AB1FA0">
        <w:rPr>
          <w:rFonts w:ascii="Times New Roman" w:hAnsi="Times New Roman" w:cs="Times New Roman"/>
          <w:sz w:val="24"/>
          <w:szCs w:val="24"/>
        </w:rPr>
        <w:t>Grupo de estudio:</w:t>
      </w:r>
    </w:p>
    <w:p w14:paraId="4D345F24" w14:textId="77777777" w:rsidR="007F658E" w:rsidRDefault="002659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grupo de estudio estuvo conformado por 23 docentes del nivel educativo Primera Infancia, 49 de Educación Primaria y 42 de Educación </w:t>
      </w:r>
      <w:proofErr w:type="spellStart"/>
      <w:r>
        <w:rPr>
          <w:rFonts w:ascii="Times New Roman" w:hAnsi="Times New Roman" w:cs="Times New Roman"/>
          <w:sz w:val="24"/>
          <w:szCs w:val="24"/>
        </w:rPr>
        <w:t>Secudaria</w:t>
      </w:r>
      <w:proofErr w:type="spellEnd"/>
      <w:r>
        <w:rPr>
          <w:rFonts w:ascii="Times New Roman" w:hAnsi="Times New Roman" w:cs="Times New Roman"/>
          <w:sz w:val="24"/>
          <w:szCs w:val="24"/>
        </w:rPr>
        <w:t xml:space="preserve"> Básica. Este se caracteriza por una alta diversidad en la formación, de ellos 12 son Máster y 102 Licenciados y de forma común declaran </w:t>
      </w:r>
      <w:r>
        <w:rPr>
          <w:rFonts w:ascii="Times New Roman" w:hAnsi="Times New Roman" w:cs="Times New Roman"/>
          <w:sz w:val="24"/>
          <w:szCs w:val="24"/>
        </w:rPr>
        <w:lastRenderedPageBreak/>
        <w:t>una alta preocupación por lograr estructurar respuestas diferenciadas para los educandos con TEA y/o DI que se encuentran en sus grupos clases de las instituciones educativas regulares.</w:t>
      </w:r>
    </w:p>
    <w:p w14:paraId="1DE86F33"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conceptualización de la inclusión educativa ha evolucionado significativamente desde la publicación del informe Warnock en 1978 hasta la adopción de los Objetivos de Desarrollo Sostenible (ODS) en 2015. El informe Warnock, elaborado por el Comité Británico sobre Necesidades Educativas Especiales, marcó un hito al proponer la inclusión de estudiantes con necesidades educativas especiales en escuelas regulares. Este informe planteó, que la educación especial debía ser complementaria y no segregadora, y que todos los estudiantes, independientemente de sus capacidades, tenían derecho a una educación de calidad en un entorno inclusivo (Warnock, 1987).</w:t>
      </w:r>
    </w:p>
    <w:p w14:paraId="78FEB4F7"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 el tiempo, la inclusión educativa ha pasado de ser un enfoque centrado exclusivamente en estudiantes con discapacidades a uno que abarca la diversidad en todas sus formas y manifestaciones humanas. Actualmente, la inclusión educativa se entiende como un proceso integral que requiere la colaboración de múltiples factores y la implementación de políticas y prácticas que promuevan la equidad y la accesibilidad, eliminando las barreras para la participación en cualquier contexto de interacción.</w:t>
      </w:r>
    </w:p>
    <w:p w14:paraId="5E7165D5"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Ahora bien, la evolución de la inclusión educativa para educandos con necesidades educativas especiales (NEE), tema que nos ocupa, en el contexto mundial ha sido un proceso dinámico y multifacético. Desde la publicación del informe Warnock en 1978, hasta la adopción de la Convención sobre los Derechos de las Personas con Discapacidad de la ONU en 2006, se ha avanzado significativamente en la promoción de la educación inclusiva. La Convención, en su artículo 24, establece el derecho de las personas con discapacidad a una educación inclusiva, reconociendo la necesidad de eliminar barreras y proporcionar apoyos adecuados para garantizar la participación plena y efectiva en la educación. </w:t>
      </w:r>
    </w:p>
    <w:p w14:paraId="3F5C9131"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En resumen, la evolución de la inclusión educativa para educandos con NEE, refleja un compromiso creciente con la equidad y la justicia social. Las políticas y prácticas actuales se centran en la creación de entornos de aprendizaje adaptativos y flexibles que respondan a las necesidades individuales de todos los estudiantes, donde se disminuyan las barreras de cualquier índole. </w:t>
      </w:r>
    </w:p>
    <w:p w14:paraId="5D3AE575"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compromiso de Cuba con la inclusión educativa se refleja en la creación de entornos de aprendizaje flexibles y adaptativos que responden a las necesidades individuales de los estudiantes con NEE. El actual perfeccionamiento del Sistema Nacional de Educación (SNE) enfatiza en la importancia de la equidad y la accesibilidad, asegurando que todos los educandos puedan desarrollar sus capacidades al máximo y contribuir activamente a la sociedad. La educación especial en Cuba no solo se limita a las escuelas especiales, sino que se extiende a todos los niveles del sistema educativo, promoviendo una integración efectiva y significativa (García </w:t>
      </w:r>
      <w:proofErr w:type="spellStart"/>
      <w:r>
        <w:rPr>
          <w:rFonts w:ascii="Times New Roman" w:eastAsia="Calibri" w:hAnsi="Times New Roman" w:cs="Times New Roman"/>
          <w:sz w:val="24"/>
          <w:szCs w:val="24"/>
        </w:rPr>
        <w:t>Torrell</w:t>
      </w:r>
      <w:proofErr w:type="spellEnd"/>
      <w:r>
        <w:rPr>
          <w:rFonts w:ascii="Times New Roman" w:eastAsia="Calibri" w:hAnsi="Times New Roman" w:cs="Times New Roman"/>
          <w:sz w:val="24"/>
          <w:szCs w:val="24"/>
        </w:rPr>
        <w:t xml:space="preserve"> &amp; Tamayo Collado, 2018)</w:t>
      </w:r>
    </w:p>
    <w:p w14:paraId="37819F7B"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este marco se puede afirmar, la evolución de la inclusión educativa en Cuba para educandos con necesidades educativas especiales (NEE), ha sido un proceso continuo y significativo acorde a las transformaciones internacionales. En las últimas décadas, este enfoque ha evolucionado, las políticas educativas actuales promueven la inclusión en escuelas regulares, apoyadas por diversos especialistas de las instituciones específicas. Estos cambios, sobre la premisa de que todos los educandos deben tener acceso a una educación de calidad en un entorno inclusivo, ha llevado a la implementación de recursos y apoyos para facilitar el aprendizaje y la participación de educandos con NEE asociadas o no a discapacidad, y se ofrece especial atención a educandos con diagnóstico de TEA y/ DI. </w:t>
      </w:r>
    </w:p>
    <w:p w14:paraId="02D013B2"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este orden de ideas, lograr la atención educativa de calidad, elemento condicionante para una inclusión de éxito, se convierte en un gran desafío. Este adquiere matices variados y manifestaciones particulares en los docentes de todos los niveles educativos, especialmente cuando </w:t>
      </w:r>
      <w:r>
        <w:rPr>
          <w:rFonts w:ascii="Times New Roman" w:eastAsia="Calibri" w:hAnsi="Times New Roman" w:cs="Times New Roman"/>
          <w:sz w:val="24"/>
          <w:szCs w:val="24"/>
        </w:rPr>
        <w:lastRenderedPageBreak/>
        <w:t>se trata de estructurar y desarrollar estrategias educativas para educandos con diagnóstico de TEA y/o DI.</w:t>
      </w:r>
    </w:p>
    <w:p w14:paraId="03903742"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 elemento importante, es el dominio de las características particulares de los educandos que presenta estas manifestaciones atípicas en el desarrollo, punto de partida para la toma de decisiones en congruencia con los retos impuestos. </w:t>
      </w:r>
    </w:p>
    <w:p w14:paraId="4EA49D2B"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educandos con Trastorno del Espectro de Autismo (TEA) presentan una serie de características distintivas que se manifiestan en su desarrollo y aprendizaje. Estas enmarcan un amplio rango de variabilidades, vistas en diferentes formas e intensidad. Como distintivas y más recurrentes, se pueden considerar las manifestaciones atípicas en la comunicación verbal y no verbal, problemas para establecer interacciones sociales recíprocas, y patrones de comportamiento, intereses o actividades restringidos y repetitivos. Además, pueden mostrar una sensibilidad sensorial aumentada o disminuida y una preferencia por la rutina y la predictibilidad. La variabilidad en la manifestación de estos síntomas es amplia, lo que hace que cada individuo con TEA sea único en sus necesidades y capacidades. (American </w:t>
      </w:r>
      <w:proofErr w:type="spellStart"/>
      <w:r>
        <w:rPr>
          <w:rFonts w:ascii="Times New Roman" w:eastAsia="Calibri" w:hAnsi="Times New Roman" w:cs="Times New Roman"/>
          <w:sz w:val="24"/>
          <w:szCs w:val="24"/>
        </w:rPr>
        <w:t>Psychiatric</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Association</w:t>
      </w:r>
      <w:proofErr w:type="spellEnd"/>
      <w:r>
        <w:rPr>
          <w:rFonts w:ascii="Times New Roman" w:eastAsia="Calibri" w:hAnsi="Times New Roman" w:cs="Times New Roman"/>
          <w:sz w:val="24"/>
          <w:szCs w:val="24"/>
        </w:rPr>
        <w:t>, 2013); (</w:t>
      </w:r>
      <w:proofErr w:type="spellStart"/>
      <w:r>
        <w:rPr>
          <w:rFonts w:ascii="Times New Roman" w:eastAsia="Calibri" w:hAnsi="Times New Roman" w:cs="Times New Roman"/>
          <w:sz w:val="24"/>
          <w:szCs w:val="24"/>
        </w:rPr>
        <w:t>Autism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Speaks</w:t>
      </w:r>
      <w:proofErr w:type="spellEnd"/>
      <w:r>
        <w:rPr>
          <w:rFonts w:ascii="Times New Roman" w:eastAsia="Calibri" w:hAnsi="Times New Roman" w:cs="Times New Roman"/>
          <w:sz w:val="24"/>
          <w:szCs w:val="24"/>
        </w:rPr>
        <w:t>, 2020).</w:t>
      </w:r>
    </w:p>
    <w:p w14:paraId="1C2E6251"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Del mismo modo, los educandos con discapacidad intelectual (DI) incluyen entre sus peculiaridades limitaciones significativas en el funcionamiento intelectual, que se manifiestan en habilidades por debajo de la edad cronológica del razonamiento, la resolución de problemas y la planificación. Además, suelen tener dificultades en la comunicación, tanto verbal como no verbal, y en la realización de actividades de la vida diaria. La capacidad de adaptación a nuevas situaciones y el aprendizaje de habilidades académicas básicas, generalmente, demanda de mayor tiempo y diversos recursos de apoyo para llegar a los objetivos propuestos. (</w:t>
      </w:r>
      <w:proofErr w:type="spellStart"/>
      <w:r>
        <w:rPr>
          <w:rFonts w:ascii="Times New Roman" w:eastAsia="Calibri" w:hAnsi="Times New Roman" w:cs="Times New Roman"/>
          <w:sz w:val="24"/>
          <w:szCs w:val="24"/>
        </w:rPr>
        <w:t>Schalock</w:t>
      </w:r>
      <w:proofErr w:type="spellEnd"/>
      <w:r>
        <w:rPr>
          <w:rFonts w:ascii="Times New Roman" w:eastAsia="Calibri" w:hAnsi="Times New Roman" w:cs="Times New Roman"/>
          <w:sz w:val="24"/>
          <w:szCs w:val="24"/>
        </w:rPr>
        <w:t xml:space="preserve"> et al., 2021).</w:t>
      </w:r>
    </w:p>
    <w:p w14:paraId="3A7E709A"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discapacidad intelectual (DI) y el trastorno del espectro de autismo (TEA) son dos condiciones del neurodesarrollo que, aunque pueden coexistir, presentan diferencias significativas. La DI se caracteriza por limitaciones en el funcionamiento intelectual y en habilidades adaptativas y la </w:t>
      </w:r>
      <w:r>
        <w:rPr>
          <w:rFonts w:ascii="Times New Roman" w:eastAsia="Calibri" w:hAnsi="Times New Roman" w:cs="Times New Roman"/>
          <w:sz w:val="24"/>
          <w:szCs w:val="24"/>
        </w:rPr>
        <w:lastRenderedPageBreak/>
        <w:t xml:space="preserve">autonomía personal. En contraste, el TEA se manifiesta principalmente en dificultades en la comunicación social y en la interacción, así como en comportamientos repetitivos y patrones de interés restringidos. Mientras que la DI impacta directamente en el rendimiento intelectual, el TEA afecta la reciprocidad socio-emocional y la adaptación conductual a diferentes contextos. (American </w:t>
      </w:r>
      <w:proofErr w:type="spellStart"/>
      <w:r>
        <w:rPr>
          <w:rFonts w:ascii="Times New Roman" w:eastAsia="Calibri" w:hAnsi="Times New Roman" w:cs="Times New Roman"/>
          <w:sz w:val="24"/>
          <w:szCs w:val="24"/>
        </w:rPr>
        <w:t>Psychiatric</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Association</w:t>
      </w:r>
      <w:proofErr w:type="spellEnd"/>
      <w:r>
        <w:rPr>
          <w:rFonts w:ascii="Times New Roman" w:eastAsia="Calibri" w:hAnsi="Times New Roman" w:cs="Times New Roman"/>
          <w:sz w:val="24"/>
          <w:szCs w:val="24"/>
        </w:rPr>
        <w:t>, 2013); (</w:t>
      </w:r>
      <w:proofErr w:type="spellStart"/>
      <w:r>
        <w:rPr>
          <w:rFonts w:ascii="Times New Roman" w:eastAsia="Calibri" w:hAnsi="Times New Roman" w:cs="Times New Roman"/>
          <w:sz w:val="24"/>
          <w:szCs w:val="24"/>
        </w:rPr>
        <w:t>Schalock</w:t>
      </w:r>
      <w:proofErr w:type="spellEnd"/>
      <w:r>
        <w:rPr>
          <w:rFonts w:ascii="Times New Roman" w:eastAsia="Calibri" w:hAnsi="Times New Roman" w:cs="Times New Roman"/>
          <w:sz w:val="24"/>
          <w:szCs w:val="24"/>
        </w:rPr>
        <w:t xml:space="preserve"> et al., 2021).</w:t>
      </w:r>
    </w:p>
    <w:p w14:paraId="1FB2A01C"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variabilidad en la manifestación de estos síntomas es amplia, lo que hace que cada individuo tenga necesidades y capacidades únicas. Por tanto, demanda de educadores capacitados y con compromiso para estructurar sus propias respuestas educativas, pero sobre todo para convertirse en catalizadores de las transformaciones necesarias en respuesta a la diversidad y a favor de la inclusión. (</w:t>
      </w:r>
      <w:proofErr w:type="spellStart"/>
      <w:r>
        <w:rPr>
          <w:rFonts w:ascii="Times New Roman" w:eastAsia="Calibri" w:hAnsi="Times New Roman" w:cs="Times New Roman"/>
          <w:sz w:val="24"/>
          <w:szCs w:val="24"/>
        </w:rPr>
        <w:t>Vitores</w:t>
      </w:r>
      <w:proofErr w:type="spellEnd"/>
      <w:r>
        <w:rPr>
          <w:rFonts w:ascii="Times New Roman" w:eastAsia="Calibri" w:hAnsi="Times New Roman" w:cs="Times New Roman"/>
          <w:sz w:val="24"/>
          <w:szCs w:val="24"/>
        </w:rPr>
        <w:t>, 2024).</w:t>
      </w:r>
    </w:p>
    <w:p w14:paraId="22B515AF"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el marco de las acciones realizadas se hizo evidente que los docentes de los entornos regulares, que ofrecen atención educativa a educando con estas características del desarrollo mayoritariamente, tienen concepciones erróneas sobre TEA. Asumen algunos de los mitos más comunes, asumen la creencia de que las personas con TEA no tienen emociones, que el autismo es una enfermedad y que los educandos con TEA tienen habilidades extraordinarias. De igual modo, asumen que los educandos con DI, no pueden aprender de manera significativa, siempre requieren un entorno educativo separado, que no pueden participar en actividades académicas regulares o en otras actividades que demanden de autonomía e independencia para la vida cotidiana.</w:t>
      </w:r>
    </w:p>
    <w:p w14:paraId="180DA74E"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hecho descrito anteriormente demuestra la falta de dominio de las características psicopedagógicas de los educandos en cuestión. Se puede afirmar sin lugar a dudas que uno de los principales desafíos es la falta de formación adecuada para los docentes, así como debilidades en su preparación continúa para sumir la diversidad educativa en los entornos regulares. Muchos educadores no están suficientemente capacitados para manejar las necesidades específicas de estos estudiantes, lo que puede llevar a prácticas educativas ineficaces y a la exclusión involuntaria de </w:t>
      </w:r>
      <w:r>
        <w:rPr>
          <w:rFonts w:ascii="Times New Roman" w:eastAsia="Calibri" w:hAnsi="Times New Roman" w:cs="Times New Roman"/>
          <w:sz w:val="24"/>
          <w:szCs w:val="24"/>
        </w:rPr>
        <w:lastRenderedPageBreak/>
        <w:t>estos alumnos (Gómez Marí, 2023). Para abordar este desafío, es crucial implementar programas de formación continua que proporcionen a los docentes las herramientas y estrategias necesarias para responder a las demandas de la diversidad de manera efectiva, vista no solo en los educandos sino también en todos los agentes educativos que forman parte del proceso educativo.</w:t>
      </w:r>
    </w:p>
    <w:p w14:paraId="5ED80ECF"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Otro desafío importante es la falta de recursos y apoyos específicos en las instituciones regulares. Esto incluye desde materiales didácticos adaptados hasta personal especializado, como psicólogos, psicopedagogos y logopedas. Sumando de forma negativa a esta realidad, las irregularidades en las alianzas que establecen entre los centros de recurso y apoyo de las instituciones específicas y los entornos regulares.  Para responder a este desafío, es esencial que se adopten de forma certera las políticas educativas establecidas, asegurando que todas las escuelas estén adecuadas y abiertas para atender a educandos con estas variabilidades en el neurodesarrollo.</w:t>
      </w:r>
    </w:p>
    <w:p w14:paraId="21BD133D"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Elemento recurrente, pero que a pesar de la evolución en el tiempo cuando se trata de inclusión se mantiene, es la resistencia al cambio por parte de algunos miembros de la comunidad educativa lo que representa un obstáculo significativo. Esta resistencia se manifiesta en actitudes negativas hacia la inclusión y en la falta de voluntad para transformar las prácticas educativas tradicionales. Entonces, es imperativo promover una cultura escolar inclusiva que valore la diversidad y fomente la colaboración entre todos los miembros de la comunidad educativa. Esto puede lograrse a través de campañas de sensibilización y la implementación de políticas que incentiven la inclusión.</w:t>
      </w:r>
    </w:p>
    <w:p w14:paraId="6D97BE2F"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Finalmente, las adaptaciones curriculares y otras formas de ajustes razonables para que sea accesible a todos los estudiantes es un desafío constante. Para abordar este desafío, es necesario desarrollar currículos flexibles y adaptativos que permitan a los estudiantes aprender a su propio ritmo y de acuerdo con sus capacidades individuales. Esto incluye el uso de tecnologías educativas y la implementación de metodologías de enseñanza diferenciada que respondan a las diversas necesidades adecuando la enseñanza, haciendo de la educación una obra personalizada que no solo </w:t>
      </w:r>
      <w:r>
        <w:rPr>
          <w:rFonts w:ascii="Times New Roman" w:eastAsia="Calibri" w:hAnsi="Times New Roman" w:cs="Times New Roman"/>
          <w:sz w:val="24"/>
          <w:szCs w:val="24"/>
        </w:rPr>
        <w:lastRenderedPageBreak/>
        <w:t>beneficia a los estudiantes con NEE, sino que enriquece la experiencia educativa de todos los, promoviendo valores de diversidad y respeto.</w:t>
      </w:r>
    </w:p>
    <w:p w14:paraId="716805A9" w14:textId="77777777" w:rsidR="007F658E" w:rsidRDefault="00265979">
      <w:pPr>
        <w:widowControl w:val="0"/>
        <w:spacing w:line="36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Conclusiones</w:t>
      </w:r>
    </w:p>
    <w:p w14:paraId="3EAE1683"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inclusión educativa de estudiantes con Trastorno del Espectro de Autismo (TEA) y Discapacidad Intelectual (DI) ha avanzado significativamente, aunque persisten desafíos importantes. </w:t>
      </w:r>
    </w:p>
    <w:p w14:paraId="37A26BA5"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formación continua y especializada de los docentes en todos los niveles educativos, la resistencia al cambio y las adaptaciones curriculares son obstáculos que deben ser abordados mediante la promoción de una cultura educativa inclusiva que genere las transformaciones necesarias en la cualquiera institución educativa.</w:t>
      </w:r>
    </w:p>
    <w:p w14:paraId="6D085A6D" w14:textId="77777777" w:rsidR="007F658E" w:rsidRDefault="00265979">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implementación de políticas educativas que prioricen la equidad y la accesibilidad es esencial para asegurar que todos los estudiantes, independientemente de sus capacidades, puedan desarrollar sus potencialidades al máximo y contribuir activamente a la sociedad, sin embargo, no son garantía de que se logren los resultados necesarios. </w:t>
      </w:r>
    </w:p>
    <w:p w14:paraId="7481FE5B" w14:textId="77777777" w:rsidR="007F658E" w:rsidRPr="004E60E0" w:rsidRDefault="00265979" w:rsidP="00AB1FA0">
      <w:pPr>
        <w:widowControl w:val="0"/>
        <w:spacing w:line="360" w:lineRule="auto"/>
        <w:jc w:val="center"/>
        <w:rPr>
          <w:rFonts w:ascii="Times New Roman" w:eastAsia="Calibri" w:hAnsi="Times New Roman" w:cs="Times New Roman"/>
          <w:b/>
          <w:sz w:val="28"/>
          <w:szCs w:val="28"/>
          <w:lang w:val="en-US"/>
        </w:rPr>
      </w:pPr>
      <w:r w:rsidRPr="004E60E0">
        <w:rPr>
          <w:rFonts w:ascii="Times New Roman" w:eastAsia="Calibri" w:hAnsi="Times New Roman" w:cs="Times New Roman"/>
          <w:b/>
          <w:sz w:val="28"/>
          <w:szCs w:val="28"/>
          <w:lang w:val="en-US"/>
        </w:rPr>
        <w:t>REFERENCIAS BIBLIOGRÁFICAS</w:t>
      </w:r>
    </w:p>
    <w:p w14:paraId="3A07E584" w14:textId="77777777" w:rsidR="007F658E" w:rsidRPr="004E60E0" w:rsidRDefault="00265979" w:rsidP="005333B4">
      <w:pPr>
        <w:widowControl w:val="0"/>
        <w:spacing w:line="360" w:lineRule="auto"/>
        <w:ind w:left="567" w:hanging="567"/>
        <w:jc w:val="both"/>
        <w:rPr>
          <w:rFonts w:ascii="Times New Roman" w:eastAsia="Calibri" w:hAnsi="Times New Roman" w:cs="Times New Roman"/>
          <w:sz w:val="24"/>
          <w:szCs w:val="24"/>
          <w:lang w:val="en-US"/>
        </w:rPr>
      </w:pPr>
      <w:r w:rsidRPr="004E60E0">
        <w:rPr>
          <w:rFonts w:ascii="Times New Roman" w:eastAsia="Calibri" w:hAnsi="Times New Roman" w:cs="Times New Roman"/>
          <w:sz w:val="24"/>
          <w:szCs w:val="24"/>
          <w:lang w:val="en-US"/>
        </w:rPr>
        <w:t xml:space="preserve">American Psychiatric Association. (2013). </w:t>
      </w:r>
      <w:r w:rsidRPr="004E60E0">
        <w:rPr>
          <w:rFonts w:ascii="Times New Roman" w:eastAsia="Calibri" w:hAnsi="Times New Roman" w:cs="Times New Roman"/>
          <w:i/>
          <w:iCs/>
          <w:sz w:val="24"/>
          <w:szCs w:val="24"/>
          <w:lang w:val="en-US"/>
        </w:rPr>
        <w:t>Diagnostic and statistical manual of mental disorders (5th ed.). Arlington</w:t>
      </w:r>
      <w:r w:rsidRPr="004E60E0">
        <w:rPr>
          <w:rFonts w:ascii="Times New Roman" w:eastAsia="Calibri" w:hAnsi="Times New Roman" w:cs="Times New Roman"/>
          <w:sz w:val="24"/>
          <w:szCs w:val="24"/>
          <w:lang w:val="en-US"/>
        </w:rPr>
        <w:t>, VA: American Psychiatric Publishing.</w:t>
      </w:r>
    </w:p>
    <w:p w14:paraId="5BFCC78D" w14:textId="77777777" w:rsidR="007F658E" w:rsidRPr="004E60E0" w:rsidRDefault="00265979" w:rsidP="005333B4">
      <w:pPr>
        <w:widowControl w:val="0"/>
        <w:spacing w:line="360" w:lineRule="auto"/>
        <w:ind w:left="567" w:hanging="567"/>
        <w:jc w:val="both"/>
        <w:rPr>
          <w:rFonts w:ascii="Times New Roman" w:eastAsia="Calibri" w:hAnsi="Times New Roman" w:cs="Times New Roman"/>
          <w:sz w:val="24"/>
          <w:szCs w:val="24"/>
          <w:lang w:val="en-US"/>
        </w:rPr>
      </w:pPr>
      <w:r w:rsidRPr="004E60E0">
        <w:rPr>
          <w:rFonts w:ascii="Times New Roman" w:eastAsia="Calibri" w:hAnsi="Times New Roman" w:cs="Times New Roman"/>
          <w:sz w:val="24"/>
          <w:szCs w:val="24"/>
          <w:lang w:val="en-US"/>
        </w:rPr>
        <w:t xml:space="preserve">Autism Speaks. (2020). </w:t>
      </w:r>
      <w:r w:rsidRPr="004E60E0">
        <w:rPr>
          <w:rFonts w:ascii="Times New Roman" w:eastAsia="Calibri" w:hAnsi="Times New Roman" w:cs="Times New Roman"/>
          <w:i/>
          <w:iCs/>
          <w:sz w:val="24"/>
          <w:szCs w:val="24"/>
          <w:lang w:val="en-US"/>
        </w:rPr>
        <w:t>What is Autism</w:t>
      </w:r>
      <w:r w:rsidRPr="004E60E0">
        <w:rPr>
          <w:rFonts w:ascii="Times New Roman" w:eastAsia="Calibri" w:hAnsi="Times New Roman" w:cs="Times New Roman"/>
          <w:sz w:val="24"/>
          <w:szCs w:val="24"/>
          <w:lang w:val="en-US"/>
        </w:rPr>
        <w:t>? Retrieved from Autism Speaks</w:t>
      </w:r>
    </w:p>
    <w:p w14:paraId="0B805AD2" w14:textId="77777777" w:rsidR="007F658E" w:rsidRDefault="00265979" w:rsidP="005333B4">
      <w:pPr>
        <w:widowControl w:val="0"/>
        <w:spacing w:line="360" w:lineRule="auto"/>
        <w:ind w:left="567" w:hanging="567"/>
        <w:jc w:val="both"/>
        <w:rPr>
          <w:rFonts w:ascii="Times New Roman" w:eastAsia="Calibri" w:hAnsi="Times New Roman" w:cs="Times New Roman"/>
          <w:sz w:val="24"/>
          <w:szCs w:val="24"/>
        </w:rPr>
      </w:pPr>
      <w:r w:rsidRPr="004E60E0">
        <w:rPr>
          <w:rFonts w:ascii="Times New Roman" w:eastAsia="Calibri" w:hAnsi="Times New Roman" w:cs="Times New Roman"/>
          <w:sz w:val="24"/>
          <w:szCs w:val="24"/>
          <w:lang w:val="en-US"/>
        </w:rPr>
        <w:t xml:space="preserve">García Torrell, I. C., &amp; Tamayo Collado, J. (2018). </w:t>
      </w:r>
      <w:r w:rsidRPr="00AB1FA0">
        <w:rPr>
          <w:rFonts w:ascii="Times New Roman" w:eastAsia="Calibri" w:hAnsi="Times New Roman" w:cs="Times New Roman"/>
          <w:i/>
          <w:iCs/>
          <w:sz w:val="24"/>
          <w:szCs w:val="24"/>
        </w:rPr>
        <w:t>Las políticas educativas inclusivas en Cuba. Varona.</w:t>
      </w:r>
      <w:r>
        <w:rPr>
          <w:rFonts w:ascii="Times New Roman" w:eastAsia="Calibri" w:hAnsi="Times New Roman" w:cs="Times New Roman"/>
          <w:sz w:val="24"/>
          <w:szCs w:val="24"/>
        </w:rPr>
        <w:t xml:space="preserve"> Revista Científico Metodológica.</w:t>
      </w:r>
    </w:p>
    <w:p w14:paraId="5628E1A9" w14:textId="45288410" w:rsidR="007F658E" w:rsidRDefault="00265979" w:rsidP="005333B4">
      <w:pPr>
        <w:widowControl w:val="0"/>
        <w:spacing w:line="360" w:lineRule="auto"/>
        <w:ind w:left="567" w:hanging="567"/>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García </w:t>
      </w:r>
      <w:proofErr w:type="spellStart"/>
      <w:r>
        <w:rPr>
          <w:rFonts w:ascii="Times New Roman" w:eastAsia="Calibri" w:hAnsi="Times New Roman" w:cs="Times New Roman"/>
          <w:sz w:val="24"/>
          <w:szCs w:val="24"/>
          <w:lang w:val="es-MX"/>
        </w:rPr>
        <w:t>Torrell</w:t>
      </w:r>
      <w:proofErr w:type="spellEnd"/>
      <w:r>
        <w:rPr>
          <w:rFonts w:ascii="Times New Roman" w:eastAsia="Calibri" w:hAnsi="Times New Roman" w:cs="Times New Roman"/>
          <w:sz w:val="24"/>
          <w:szCs w:val="24"/>
          <w:lang w:val="es-MX"/>
        </w:rPr>
        <w:t xml:space="preserve">, I. C., &amp; Tamayo Collado, J. (2018). </w:t>
      </w:r>
      <w:r w:rsidRPr="00AB1FA0">
        <w:rPr>
          <w:rFonts w:ascii="Times New Roman" w:eastAsia="Calibri" w:hAnsi="Times New Roman" w:cs="Times New Roman"/>
          <w:i/>
          <w:iCs/>
          <w:sz w:val="24"/>
          <w:szCs w:val="24"/>
          <w:lang w:val="es-MX"/>
        </w:rPr>
        <w:t>Las políticas educativas inclusivas en Cuba. Varona,</w:t>
      </w:r>
      <w:r>
        <w:rPr>
          <w:rFonts w:ascii="Times New Roman" w:eastAsia="Calibri" w:hAnsi="Times New Roman" w:cs="Times New Roman"/>
          <w:sz w:val="24"/>
          <w:szCs w:val="24"/>
          <w:lang w:val="es-MX"/>
        </w:rPr>
        <w:t xml:space="preserve"> 66</w:t>
      </w:r>
      <w:r w:rsidR="00AB1FA0">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(supl.1), 10-20. Recuperado de SciELO</w:t>
      </w:r>
      <w:r w:rsidR="00AB1FA0">
        <w:rPr>
          <w:rFonts w:ascii="Times New Roman" w:eastAsia="Calibri" w:hAnsi="Times New Roman" w:cs="Times New Roman"/>
          <w:sz w:val="24"/>
          <w:szCs w:val="24"/>
          <w:lang w:val="es-MX"/>
        </w:rPr>
        <w:t xml:space="preserve">. </w:t>
      </w:r>
    </w:p>
    <w:p w14:paraId="7965F326" w14:textId="77777777" w:rsidR="007F658E" w:rsidRDefault="00265979" w:rsidP="005333B4">
      <w:pPr>
        <w:widowControl w:val="0"/>
        <w:spacing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Gómez Marí, I. (2023). </w:t>
      </w:r>
      <w:proofErr w:type="spellStart"/>
      <w:r w:rsidRPr="00360CF7">
        <w:rPr>
          <w:rFonts w:ascii="Times New Roman" w:eastAsia="Calibri" w:hAnsi="Times New Roman" w:cs="Times New Roman"/>
          <w:i/>
          <w:iCs/>
          <w:sz w:val="24"/>
          <w:szCs w:val="24"/>
        </w:rPr>
        <w:t>Neuromitos</w:t>
      </w:r>
      <w:proofErr w:type="spellEnd"/>
      <w:r w:rsidRPr="00360CF7">
        <w:rPr>
          <w:rFonts w:ascii="Times New Roman" w:eastAsia="Calibri" w:hAnsi="Times New Roman" w:cs="Times New Roman"/>
          <w:i/>
          <w:iCs/>
          <w:sz w:val="24"/>
          <w:szCs w:val="24"/>
        </w:rPr>
        <w:t xml:space="preserve"> sobre la DI: Concepciones erróneas de futuros maestros. Revista de Educación Inclusiva</w:t>
      </w:r>
      <w:r>
        <w:rPr>
          <w:rFonts w:ascii="Times New Roman" w:eastAsia="Calibri" w:hAnsi="Times New Roman" w:cs="Times New Roman"/>
          <w:sz w:val="24"/>
          <w:szCs w:val="24"/>
        </w:rPr>
        <w:t>, 16(2). Recuperado de Revista de Educación Inclusiva</w:t>
      </w:r>
    </w:p>
    <w:p w14:paraId="572DE214" w14:textId="77777777" w:rsidR="007F658E" w:rsidRPr="004E60E0" w:rsidRDefault="00265979" w:rsidP="005333B4">
      <w:pPr>
        <w:widowControl w:val="0"/>
        <w:spacing w:line="36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Pérez Serrano, E. A., &amp; Hernández Ochoa, E. M. (2020). </w:t>
      </w:r>
      <w:r w:rsidRPr="00360CF7">
        <w:rPr>
          <w:rFonts w:ascii="Times New Roman" w:eastAsia="Calibri" w:hAnsi="Times New Roman" w:cs="Times New Roman"/>
          <w:i/>
          <w:iCs/>
          <w:sz w:val="24"/>
          <w:szCs w:val="24"/>
        </w:rPr>
        <w:t>Discapacidad y educación en Cuba: educación inclusiva y discapacidad en Cuba.</w:t>
      </w:r>
      <w:r>
        <w:rPr>
          <w:rFonts w:ascii="Times New Roman" w:eastAsia="Calibri" w:hAnsi="Times New Roman" w:cs="Times New Roman"/>
          <w:sz w:val="24"/>
          <w:szCs w:val="24"/>
        </w:rPr>
        <w:t xml:space="preserve"> </w:t>
      </w:r>
      <w:r w:rsidRPr="004E60E0">
        <w:rPr>
          <w:rFonts w:ascii="Times New Roman" w:eastAsia="Calibri" w:hAnsi="Times New Roman" w:cs="Times New Roman"/>
          <w:sz w:val="24"/>
          <w:szCs w:val="24"/>
          <w:lang w:val="en-US"/>
        </w:rPr>
        <w:t>UNESCO</w:t>
      </w:r>
    </w:p>
    <w:p w14:paraId="1646FB0D" w14:textId="77777777" w:rsidR="007F658E" w:rsidRDefault="00265979" w:rsidP="005333B4">
      <w:pPr>
        <w:widowControl w:val="0"/>
        <w:spacing w:line="360" w:lineRule="auto"/>
        <w:ind w:left="567" w:hanging="567"/>
        <w:jc w:val="both"/>
        <w:rPr>
          <w:rFonts w:ascii="Times New Roman" w:eastAsia="Calibri" w:hAnsi="Times New Roman" w:cs="Times New Roman"/>
          <w:sz w:val="24"/>
          <w:szCs w:val="24"/>
        </w:rPr>
      </w:pPr>
      <w:proofErr w:type="spellStart"/>
      <w:r w:rsidRPr="004E60E0">
        <w:rPr>
          <w:rFonts w:ascii="Times New Roman" w:eastAsia="Calibri" w:hAnsi="Times New Roman" w:cs="Times New Roman"/>
          <w:sz w:val="24"/>
          <w:szCs w:val="24"/>
          <w:lang w:val="en-US"/>
        </w:rPr>
        <w:t>Schalock</w:t>
      </w:r>
      <w:proofErr w:type="spellEnd"/>
      <w:r w:rsidRPr="004E60E0">
        <w:rPr>
          <w:rFonts w:ascii="Times New Roman" w:eastAsia="Calibri" w:hAnsi="Times New Roman" w:cs="Times New Roman"/>
          <w:sz w:val="24"/>
          <w:szCs w:val="24"/>
          <w:lang w:val="en-US"/>
        </w:rPr>
        <w:t xml:space="preserve">, R. L., </w:t>
      </w:r>
      <w:proofErr w:type="spellStart"/>
      <w:r w:rsidRPr="004E60E0">
        <w:rPr>
          <w:rFonts w:ascii="Times New Roman" w:eastAsia="Calibri" w:hAnsi="Times New Roman" w:cs="Times New Roman"/>
          <w:sz w:val="24"/>
          <w:szCs w:val="24"/>
          <w:lang w:val="en-US"/>
        </w:rPr>
        <w:t>Luckasson</w:t>
      </w:r>
      <w:proofErr w:type="spellEnd"/>
      <w:r w:rsidRPr="004E60E0">
        <w:rPr>
          <w:rFonts w:ascii="Times New Roman" w:eastAsia="Calibri" w:hAnsi="Times New Roman" w:cs="Times New Roman"/>
          <w:sz w:val="24"/>
          <w:szCs w:val="24"/>
          <w:lang w:val="en-US"/>
        </w:rPr>
        <w:t xml:space="preserve">, R., &amp; Shogren, K. A. (2021). </w:t>
      </w:r>
      <w:r w:rsidRPr="004E60E0">
        <w:rPr>
          <w:rFonts w:ascii="Times New Roman" w:eastAsia="Calibri" w:hAnsi="Times New Roman" w:cs="Times New Roman"/>
          <w:i/>
          <w:iCs/>
          <w:sz w:val="24"/>
          <w:szCs w:val="24"/>
          <w:lang w:val="en-US"/>
        </w:rPr>
        <w:t>The renaming of intellectual disability: Understanding the change to the term intellectual disability</w:t>
      </w:r>
      <w:r w:rsidRPr="004E60E0">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Intellectual</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Developmental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Disabilities</w:t>
      </w:r>
      <w:proofErr w:type="spellEnd"/>
      <w:r>
        <w:rPr>
          <w:rFonts w:ascii="Times New Roman" w:eastAsia="Calibri" w:hAnsi="Times New Roman" w:cs="Times New Roman"/>
          <w:sz w:val="24"/>
          <w:szCs w:val="24"/>
        </w:rPr>
        <w:t>, 59(1), 1-10.</w:t>
      </w:r>
    </w:p>
    <w:p w14:paraId="3C19D6C6" w14:textId="77777777" w:rsidR="007F658E" w:rsidRDefault="00265979" w:rsidP="005333B4">
      <w:pPr>
        <w:widowControl w:val="0"/>
        <w:spacing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UNESCO. (2020). </w:t>
      </w:r>
      <w:r w:rsidRPr="00360CF7">
        <w:rPr>
          <w:rFonts w:ascii="Times New Roman" w:eastAsia="Calibri" w:hAnsi="Times New Roman" w:cs="Times New Roman"/>
          <w:i/>
          <w:iCs/>
          <w:sz w:val="24"/>
          <w:szCs w:val="24"/>
        </w:rPr>
        <w:t>Discapacidad y educación en Cuba: educación inclusiva y discapacidad en Cuba</w:t>
      </w:r>
      <w:r>
        <w:rPr>
          <w:rFonts w:ascii="Times New Roman" w:eastAsia="Calibri" w:hAnsi="Times New Roman" w:cs="Times New Roman"/>
          <w:sz w:val="24"/>
          <w:szCs w:val="24"/>
        </w:rPr>
        <w:t>.</w:t>
      </w:r>
    </w:p>
    <w:p w14:paraId="4651347C" w14:textId="77777777" w:rsidR="007F658E" w:rsidRPr="00360CF7" w:rsidRDefault="00265979" w:rsidP="005333B4">
      <w:pPr>
        <w:widowControl w:val="0"/>
        <w:spacing w:line="360" w:lineRule="auto"/>
        <w:ind w:left="567" w:hanging="567"/>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UNESCO. (2020). </w:t>
      </w:r>
      <w:r w:rsidRPr="00360CF7">
        <w:rPr>
          <w:rFonts w:ascii="Times New Roman" w:eastAsia="Calibri" w:hAnsi="Times New Roman" w:cs="Times New Roman"/>
          <w:i/>
          <w:iCs/>
          <w:sz w:val="24"/>
          <w:szCs w:val="24"/>
        </w:rPr>
        <w:t>Educación para los Objetivos de Desarrollo Sostenible: objetivos de aprendizaje.</w:t>
      </w:r>
    </w:p>
    <w:p w14:paraId="3457489F" w14:textId="77777777" w:rsidR="007F658E" w:rsidRDefault="00265979" w:rsidP="005333B4">
      <w:pPr>
        <w:widowControl w:val="0"/>
        <w:spacing w:line="360" w:lineRule="auto"/>
        <w:ind w:left="567" w:hanging="567"/>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Vitores</w:t>
      </w:r>
      <w:proofErr w:type="spellEnd"/>
      <w:r>
        <w:rPr>
          <w:rFonts w:ascii="Times New Roman" w:eastAsia="Calibri" w:hAnsi="Times New Roman" w:cs="Times New Roman"/>
          <w:sz w:val="24"/>
          <w:szCs w:val="24"/>
        </w:rPr>
        <w:t xml:space="preserve"> Barranco, M. (2024). </w:t>
      </w:r>
      <w:r w:rsidRPr="00360CF7">
        <w:rPr>
          <w:rFonts w:ascii="Times New Roman" w:eastAsia="Calibri" w:hAnsi="Times New Roman" w:cs="Times New Roman"/>
          <w:i/>
          <w:iCs/>
          <w:sz w:val="24"/>
          <w:szCs w:val="24"/>
        </w:rPr>
        <w:t xml:space="preserve">Autismo en el aula: Desafíos y estrategias para una educación inclusiva. </w:t>
      </w:r>
      <w:r>
        <w:rPr>
          <w:rFonts w:ascii="Times New Roman" w:eastAsia="Calibri" w:hAnsi="Times New Roman" w:cs="Times New Roman"/>
          <w:sz w:val="24"/>
          <w:szCs w:val="24"/>
        </w:rPr>
        <w:t>Revista digital Ventana Abierta. Recuperado de Revista Ventana Abierta</w:t>
      </w:r>
    </w:p>
    <w:p w14:paraId="1389D1DB" w14:textId="77777777" w:rsidR="007F658E" w:rsidRDefault="00265979" w:rsidP="005333B4">
      <w:pPr>
        <w:widowControl w:val="0"/>
        <w:spacing w:line="36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Warnock, M. (1987). </w:t>
      </w:r>
      <w:r w:rsidRPr="00360CF7">
        <w:rPr>
          <w:rFonts w:ascii="Times New Roman" w:eastAsia="Calibri" w:hAnsi="Times New Roman" w:cs="Times New Roman"/>
          <w:i/>
          <w:iCs/>
          <w:sz w:val="24"/>
          <w:szCs w:val="24"/>
        </w:rPr>
        <w:t>Encuentro sobre Necesidades de Educación Especial. Revista de Educación, Número Extraordinario</w:t>
      </w:r>
      <w:r>
        <w:rPr>
          <w:rFonts w:ascii="Times New Roman" w:eastAsia="Calibri" w:hAnsi="Times New Roman" w:cs="Times New Roman"/>
          <w:sz w:val="24"/>
          <w:szCs w:val="24"/>
        </w:rPr>
        <w:t>, pp. 45-73.</w:t>
      </w:r>
    </w:p>
    <w:p w14:paraId="29448D16" w14:textId="77777777" w:rsidR="007F658E" w:rsidRPr="004E60E0" w:rsidRDefault="00265979">
      <w:pPr>
        <w:rPr>
          <w:rFonts w:ascii="Times New Roman" w:eastAsia="SimSun" w:hAnsi="Times New Roman" w:cs="Times New Roman"/>
          <w:b/>
          <w:bCs/>
          <w:color w:val="000000"/>
          <w:sz w:val="24"/>
          <w:szCs w:val="24"/>
          <w:lang w:eastAsia="zh-CN" w:bidi="ar"/>
        </w:rPr>
      </w:pPr>
      <w:r w:rsidRPr="004E60E0">
        <w:rPr>
          <w:rFonts w:ascii="Times New Roman" w:eastAsia="SimSun" w:hAnsi="Times New Roman" w:cs="Times New Roman"/>
          <w:b/>
          <w:bCs/>
          <w:color w:val="000000"/>
          <w:sz w:val="24"/>
          <w:szCs w:val="24"/>
          <w:lang w:eastAsia="zh-CN" w:bidi="ar"/>
        </w:rPr>
        <w:t>Declaración de conflicto de interés y conflictos éticos</w:t>
      </w:r>
    </w:p>
    <w:p w14:paraId="07C50D79" w14:textId="77777777" w:rsidR="007F658E" w:rsidRDefault="00265979">
      <w:pPr>
        <w:spacing w:after="0" w:line="360" w:lineRule="auto"/>
        <w:rPr>
          <w:sz w:val="24"/>
          <w:szCs w:val="24"/>
        </w:rPr>
      </w:pPr>
      <w:r w:rsidRPr="004E60E0">
        <w:rPr>
          <w:rFonts w:ascii="Times New Roman" w:eastAsia="SimSun" w:hAnsi="Times New Roman" w:cs="Times New Roman"/>
          <w:color w:val="000000"/>
          <w:sz w:val="24"/>
          <w:szCs w:val="24"/>
          <w:lang w:eastAsia="zh-CN" w:bidi="ar"/>
        </w:rPr>
        <w:t xml:space="preserve">Este autor declara que lo escrito en este manuscrito es original y no se ha enviado a otra Revista </w:t>
      </w:r>
    </w:p>
    <w:p w14:paraId="2DA296FA" w14:textId="77777777" w:rsidR="007F658E" w:rsidRDefault="00265979">
      <w:pPr>
        <w:spacing w:after="0" w:line="360" w:lineRule="auto"/>
        <w:rPr>
          <w:sz w:val="24"/>
          <w:szCs w:val="24"/>
        </w:rPr>
      </w:pPr>
      <w:r w:rsidRPr="004E60E0">
        <w:rPr>
          <w:rFonts w:ascii="Times New Roman" w:eastAsia="SimSun" w:hAnsi="Times New Roman" w:cs="Times New Roman"/>
          <w:color w:val="000000"/>
          <w:sz w:val="24"/>
          <w:szCs w:val="24"/>
          <w:lang w:eastAsia="zh-CN" w:bidi="ar"/>
        </w:rPr>
        <w:t xml:space="preserve">y me hago responsable del total de contenido que aparece y en este no existen plagios ni </w:t>
      </w:r>
      <w:r>
        <w:rPr>
          <w:rFonts w:ascii="Times New Roman" w:eastAsia="SimSun" w:hAnsi="Times New Roman" w:cs="Times New Roman"/>
          <w:color w:val="000000"/>
          <w:sz w:val="24"/>
          <w:szCs w:val="24"/>
          <w:lang w:eastAsia="zh-CN" w:bidi="ar"/>
        </w:rPr>
        <w:t>c</w:t>
      </w:r>
      <w:r w:rsidRPr="004E60E0">
        <w:rPr>
          <w:rFonts w:ascii="Times New Roman" w:eastAsia="SimSun" w:hAnsi="Times New Roman" w:cs="Times New Roman"/>
          <w:color w:val="000000"/>
          <w:sz w:val="24"/>
          <w:szCs w:val="24"/>
          <w:lang w:eastAsia="zh-CN" w:bidi="ar"/>
        </w:rPr>
        <w:t>onflictos de intereses ni éticos.</w:t>
      </w:r>
    </w:p>
    <w:p w14:paraId="5186BB41" w14:textId="77777777" w:rsidR="007F658E" w:rsidRDefault="007F658E">
      <w:pPr>
        <w:spacing w:after="0" w:line="360" w:lineRule="auto"/>
        <w:jc w:val="both"/>
        <w:rPr>
          <w:rFonts w:ascii="Times New Roman" w:hAnsi="Times New Roman" w:cs="Times New Roman"/>
          <w:sz w:val="24"/>
          <w:szCs w:val="24"/>
        </w:rPr>
      </w:pPr>
    </w:p>
    <w:p w14:paraId="18695557" w14:textId="07D242E1" w:rsidR="007F658E" w:rsidRDefault="00882C93">
      <w:pPr>
        <w:spacing w:line="360" w:lineRule="auto"/>
        <w:rPr>
          <w:sz w:val="24"/>
        </w:rPr>
      </w:pPr>
      <w:proofErr w:type="spellStart"/>
      <w:r>
        <w:rPr>
          <w:sz w:val="24"/>
        </w:rPr>
        <w:t>Edwuin</w:t>
      </w:r>
      <w:proofErr w:type="spellEnd"/>
      <w:r>
        <w:rPr>
          <w:sz w:val="24"/>
        </w:rPr>
        <w:t xml:space="preserve"> Torres Olivera: </w:t>
      </w:r>
      <w:r w:rsidR="005333B4">
        <w:rPr>
          <w:sz w:val="24"/>
        </w:rPr>
        <w:t>Diseño,</w:t>
      </w:r>
      <w:r>
        <w:rPr>
          <w:sz w:val="24"/>
        </w:rPr>
        <w:t xml:space="preserve"> concepción del artículo, revisión, redacción</w:t>
      </w:r>
      <w:r w:rsidR="005333B4">
        <w:rPr>
          <w:sz w:val="24"/>
        </w:rPr>
        <w:t xml:space="preserve"> y revisión. </w:t>
      </w:r>
    </w:p>
    <w:p w14:paraId="1BFB96D1" w14:textId="69E805E0" w:rsidR="007F658E" w:rsidRDefault="005333B4" w:rsidP="004E60E0">
      <w:pPr>
        <w:spacing w:line="360" w:lineRule="auto"/>
        <w:rPr>
          <w:sz w:val="24"/>
        </w:rPr>
      </w:pPr>
      <w:proofErr w:type="spellStart"/>
      <w:r>
        <w:rPr>
          <w:sz w:val="24"/>
        </w:rPr>
        <w:t>Yaima</w:t>
      </w:r>
      <w:proofErr w:type="spellEnd"/>
      <w:r>
        <w:rPr>
          <w:sz w:val="24"/>
        </w:rPr>
        <w:t xml:space="preserve"> </w:t>
      </w:r>
      <w:proofErr w:type="spellStart"/>
      <w:r>
        <w:rPr>
          <w:sz w:val="24"/>
        </w:rPr>
        <w:t>Demósthene</w:t>
      </w:r>
      <w:proofErr w:type="spellEnd"/>
      <w:r>
        <w:rPr>
          <w:sz w:val="24"/>
        </w:rPr>
        <w:t xml:space="preserve"> </w:t>
      </w:r>
      <w:proofErr w:type="spellStart"/>
      <w:r>
        <w:rPr>
          <w:sz w:val="24"/>
        </w:rPr>
        <w:t>Sterling</w:t>
      </w:r>
      <w:proofErr w:type="spellEnd"/>
      <w:r>
        <w:rPr>
          <w:sz w:val="24"/>
        </w:rPr>
        <w:t xml:space="preserve">: Concepción y diseño desde la especialidad, revisión. </w:t>
      </w:r>
    </w:p>
    <w:sectPr w:rsidR="007F658E" w:rsidSect="004E60E0">
      <w:headerReference w:type="default" r:id="rId10"/>
      <w:footerReference w:type="default" r:id="rId11"/>
      <w:pgSz w:w="12240" w:h="15840"/>
      <w:pgMar w:top="1980" w:right="1440" w:bottom="2970" w:left="1350" w:header="810" w:footer="451" w:gutter="0"/>
      <w:pgNumType w:start="2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0AA1" w14:textId="77777777" w:rsidR="00137FEF" w:rsidRDefault="00137FEF">
      <w:pPr>
        <w:spacing w:line="240" w:lineRule="auto"/>
      </w:pPr>
      <w:r>
        <w:separator/>
      </w:r>
    </w:p>
  </w:endnote>
  <w:endnote w:type="continuationSeparator" w:id="0">
    <w:p w14:paraId="00BAC344" w14:textId="77777777" w:rsidR="00137FEF" w:rsidRDefault="00137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F658E" w14:paraId="4DEDE236" w14:textId="77777777">
      <w:trPr>
        <w:trHeight w:val="310"/>
        <w:jc w:val="center"/>
      </w:trPr>
      <w:tc>
        <w:tcPr>
          <w:tcW w:w="1804" w:type="dxa"/>
          <w:shd w:val="clear" w:color="auto" w:fill="00B0F0"/>
          <w:tcMar>
            <w:top w:w="144" w:type="dxa"/>
            <w:left w:w="115" w:type="dxa"/>
            <w:bottom w:w="144" w:type="dxa"/>
            <w:right w:w="115" w:type="dxa"/>
          </w:tcMar>
          <w:vAlign w:val="center"/>
        </w:tcPr>
        <w:p w14:paraId="39D5554A" w14:textId="77777777" w:rsidR="007F658E" w:rsidRDefault="00265979">
          <w:pPr>
            <w:spacing w:after="0" w:line="240" w:lineRule="auto"/>
            <w:rPr>
              <w:b/>
              <w:color w:val="FFFFFF"/>
            </w:rPr>
          </w:pPr>
          <w:r>
            <w:rPr>
              <w:noProof/>
              <w:lang w:eastAsia="es-ES"/>
            </w:rPr>
            <w:drawing>
              <wp:inline distT="0" distB="0" distL="0" distR="0" wp14:anchorId="33E9B2F6" wp14:editId="27834F13">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835D9E4" w14:textId="77777777" w:rsidR="007F658E" w:rsidRDefault="00265979">
          <w:pPr>
            <w:spacing w:after="0" w:line="240" w:lineRule="auto"/>
            <w:rPr>
              <w:color w:val="FFFFFF"/>
              <w:sz w:val="20"/>
            </w:rPr>
          </w:pPr>
          <w:r>
            <w:rPr>
              <w:color w:val="FFFFFF"/>
              <w:sz w:val="20"/>
            </w:rPr>
            <w:t xml:space="preserve">Artículo de acceso abierto distribuido bajo los términos de la licencia Creative </w:t>
          </w:r>
          <w:proofErr w:type="spellStart"/>
          <w:r>
            <w:rPr>
              <w:color w:val="FFFFFF"/>
              <w:sz w:val="20"/>
            </w:rPr>
            <w:t>Commons</w:t>
          </w:r>
          <w:proofErr w:type="spellEnd"/>
          <w:r>
            <w:rPr>
              <w:color w:val="FFFFFF"/>
              <w:sz w:val="20"/>
            </w:rPr>
            <w:t xml:space="preserve">. </w:t>
          </w:r>
        </w:p>
        <w:p w14:paraId="54F4C9C8" w14:textId="77777777" w:rsidR="007F658E" w:rsidRDefault="00265979">
          <w:pPr>
            <w:spacing w:after="0" w:line="240" w:lineRule="auto"/>
            <w:rPr>
              <w:b/>
              <w:color w:val="FFFFFF"/>
            </w:rPr>
          </w:pPr>
          <w:r>
            <w:rPr>
              <w:color w:val="FFFFFF"/>
              <w:sz w:val="20"/>
            </w:rPr>
            <w:t>Reconocimiento-</w:t>
          </w:r>
          <w:proofErr w:type="spellStart"/>
          <w:r>
            <w:rPr>
              <w:color w:val="FFFFFF"/>
              <w:sz w:val="20"/>
            </w:rPr>
            <w:t>NoComercial</w:t>
          </w:r>
          <w:proofErr w:type="spellEnd"/>
          <w:r>
            <w:rPr>
              <w:color w:val="FFFFFF"/>
              <w:sz w:val="20"/>
            </w:rPr>
            <w:t xml:space="preserve"> 4.0 Internacional (CC BY-NC 4.0)</w:t>
          </w:r>
        </w:p>
      </w:tc>
    </w:tr>
    <w:tr w:rsidR="007F658E" w14:paraId="79C1A8F3"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3A0C0251" w14:textId="77777777" w:rsidR="007F658E" w:rsidRDefault="00265979">
          <w:pPr>
            <w:spacing w:after="0" w:line="240" w:lineRule="auto"/>
            <w:jc w:val="center"/>
            <w:rPr>
              <w:color w:val="FFFFFF"/>
              <w:sz w:val="20"/>
            </w:rPr>
          </w:pPr>
          <w:r>
            <w:rPr>
              <w:color w:val="632423"/>
              <w:sz w:val="20"/>
            </w:rPr>
            <w:t>Calle 41 No. 3406 e/34 y 36 Playa, La Habana, Cuba.    /   revista@iccp.rimed.cu   /   www.cienciaspedagogicas.rimed.cu</w:t>
          </w:r>
        </w:p>
      </w:tc>
    </w:tr>
  </w:tbl>
  <w:p w14:paraId="3C6DA439" w14:textId="77777777" w:rsidR="007F658E" w:rsidRDefault="00265979" w:rsidP="004E60E0">
    <w:pPr>
      <w:pStyle w:val="Piedepgina"/>
      <w:tabs>
        <w:tab w:val="clear" w:pos="4680"/>
        <w:tab w:val="clear" w:pos="9360"/>
      </w:tabs>
      <w:jc w:val="center"/>
      <w:rPr>
        <w:caps/>
        <w:color w:val="4F81BD"/>
      </w:rPr>
    </w:pPr>
    <w:r>
      <w:rPr>
        <w:caps/>
        <w:color w:val="4F81BD"/>
      </w:rPr>
      <w:fldChar w:fldCharType="begin"/>
    </w:r>
    <w:r>
      <w:rPr>
        <w:caps/>
        <w:color w:val="4F81BD"/>
      </w:rPr>
      <w:instrText>PAGE   \* MERGEFORMAT</w:instrText>
    </w:r>
    <w:r>
      <w:rPr>
        <w:caps/>
        <w:color w:val="4F81BD"/>
      </w:rPr>
      <w:fldChar w:fldCharType="separate"/>
    </w:r>
    <w:r>
      <w:rPr>
        <w:caps/>
        <w:color w:val="4F81BD"/>
      </w:rPr>
      <w:t>2</w:t>
    </w:r>
    <w:r>
      <w:rPr>
        <w:caps/>
        <w:color w:val="4F81BD"/>
      </w:rPr>
      <w:fldChar w:fldCharType="end"/>
    </w:r>
  </w:p>
  <w:p w14:paraId="5541F912" w14:textId="77777777" w:rsidR="007F658E" w:rsidRDefault="007F65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9A5A" w14:textId="77777777" w:rsidR="00137FEF" w:rsidRDefault="00137FEF">
      <w:pPr>
        <w:spacing w:after="0"/>
      </w:pPr>
      <w:r>
        <w:separator/>
      </w:r>
    </w:p>
  </w:footnote>
  <w:footnote w:type="continuationSeparator" w:id="0">
    <w:p w14:paraId="035BC3C6" w14:textId="77777777" w:rsidR="00137FEF" w:rsidRDefault="00137FEF">
      <w:pPr>
        <w:spacing w:after="0"/>
      </w:pPr>
      <w:r>
        <w:continuationSeparator/>
      </w:r>
    </w:p>
  </w:footnote>
  <w:footnote w:id="1">
    <w:p w14:paraId="4C515FF6" w14:textId="112DF241" w:rsidR="001030A9" w:rsidRDefault="001030A9">
      <w:pPr>
        <w:pStyle w:val="Textonotapie"/>
      </w:pPr>
      <w:r>
        <w:rPr>
          <w:rStyle w:val="Refdenotaalpie"/>
        </w:rPr>
        <w:footnoteRef/>
      </w:r>
      <w:r>
        <w:t xml:space="preserve"> Licenciado en Psicopedagogía. Especialista principal. </w:t>
      </w:r>
    </w:p>
  </w:footnote>
  <w:footnote w:id="2">
    <w:p w14:paraId="281C80AD" w14:textId="5D2BAA11" w:rsidR="00716226" w:rsidRDefault="00716226">
      <w:pPr>
        <w:pStyle w:val="Textonotapie"/>
      </w:pPr>
      <w:r>
        <w:rPr>
          <w:rStyle w:val="Refdenotaalpie"/>
        </w:rPr>
        <w:footnoteRef/>
      </w:r>
      <w:r>
        <w:t xml:space="preserve"> Investigadora del Instituto Central de Ciencias Pedagógicas y Coordinadora de la Maestría en Educación Especial.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4E60E0" w:rsidRPr="004E60E0" w14:paraId="4081CA9E" w14:textId="77777777" w:rsidTr="00F415A9">
      <w:trPr>
        <w:trHeight w:val="769"/>
        <w:jc w:val="center"/>
      </w:trPr>
      <w:tc>
        <w:tcPr>
          <w:tcW w:w="5035" w:type="dxa"/>
          <w:tcMar>
            <w:top w:w="72" w:type="dxa"/>
            <w:left w:w="115" w:type="dxa"/>
            <w:bottom w:w="72" w:type="dxa"/>
            <w:right w:w="115" w:type="dxa"/>
          </w:tcMar>
          <w:vAlign w:val="center"/>
        </w:tcPr>
        <w:p w14:paraId="3C25385B" w14:textId="77777777" w:rsidR="004E60E0" w:rsidRPr="004E60E0" w:rsidRDefault="004E60E0" w:rsidP="004E60E0">
          <w:pPr>
            <w:spacing w:after="0" w:line="240" w:lineRule="auto"/>
            <w:jc w:val="center"/>
            <w:rPr>
              <w:rFonts w:ascii="Arial" w:eastAsia="Times New Roman" w:hAnsi="Arial" w:cs="Arial"/>
              <w:b/>
              <w:sz w:val="28"/>
              <w:szCs w:val="24"/>
              <w:lang w:val="en-US"/>
            </w:rPr>
          </w:pPr>
          <w:r w:rsidRPr="004E60E0">
            <w:rPr>
              <w:rFonts w:ascii="Times New Roman" w:eastAsia="Times New Roman" w:hAnsi="Times New Roman" w:cs="Times New Roman"/>
              <w:noProof/>
              <w:sz w:val="24"/>
              <w:szCs w:val="24"/>
              <w:lang w:val="en-US"/>
            </w:rPr>
            <w:drawing>
              <wp:inline distT="0" distB="0" distL="0" distR="0" wp14:anchorId="4E46E93D" wp14:editId="116E9AD6">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7AEFCB87" w14:textId="77777777" w:rsidR="004E60E0" w:rsidRPr="004E60E0" w:rsidRDefault="004E60E0" w:rsidP="004E60E0">
          <w:pPr>
            <w:spacing w:after="0" w:line="240" w:lineRule="auto"/>
            <w:jc w:val="center"/>
            <w:rPr>
              <w:rFonts w:ascii="Times New Roman" w:eastAsia="Times New Roman" w:hAnsi="Times New Roman" w:cs="Times New Roman"/>
              <w:b/>
              <w:color w:val="FFFFFF"/>
              <w:sz w:val="20"/>
              <w:szCs w:val="24"/>
            </w:rPr>
          </w:pPr>
          <w:r w:rsidRPr="004E60E0">
            <w:rPr>
              <w:rFonts w:ascii="Times New Roman" w:eastAsia="Times New Roman" w:hAnsi="Times New Roman" w:cs="Times New Roman"/>
              <w:b/>
              <w:color w:val="FFFFFF"/>
              <w:sz w:val="20"/>
              <w:szCs w:val="24"/>
            </w:rPr>
            <w:t>ISSN: 1605 – 5888    RNPS: 1844</w:t>
          </w:r>
        </w:p>
        <w:p w14:paraId="5C5FFD64" w14:textId="77777777" w:rsidR="004E60E0" w:rsidRPr="004E60E0" w:rsidRDefault="004E60E0" w:rsidP="004E60E0">
          <w:pPr>
            <w:spacing w:after="0" w:line="240" w:lineRule="auto"/>
            <w:jc w:val="center"/>
            <w:rPr>
              <w:rFonts w:ascii="Times New Roman" w:eastAsia="Times New Roman" w:hAnsi="Times New Roman" w:cs="Times New Roman"/>
              <w:b/>
              <w:color w:val="FFFFFF"/>
              <w:sz w:val="20"/>
              <w:szCs w:val="24"/>
            </w:rPr>
          </w:pPr>
          <w:r w:rsidRPr="004E60E0">
            <w:rPr>
              <w:rFonts w:ascii="Times New Roman" w:eastAsia="Times New Roman" w:hAnsi="Times New Roman" w:cs="Times New Roman"/>
              <w:b/>
              <w:color w:val="FFFFFF"/>
              <w:sz w:val="20"/>
              <w:szCs w:val="24"/>
            </w:rPr>
            <w:t xml:space="preserve">V.17. No.3 (septiembre-diciembre) Año 2024, 4ta Etapa </w:t>
          </w:r>
        </w:p>
        <w:p w14:paraId="6988CF33" w14:textId="4793E09E" w:rsidR="004E60E0" w:rsidRPr="004E60E0" w:rsidRDefault="004E60E0" w:rsidP="004E60E0">
          <w:pPr>
            <w:spacing w:after="0" w:line="240" w:lineRule="auto"/>
            <w:jc w:val="center"/>
            <w:rPr>
              <w:rFonts w:ascii="Arial" w:eastAsia="Times New Roman" w:hAnsi="Arial" w:cs="Arial"/>
              <w:b/>
              <w:sz w:val="28"/>
              <w:szCs w:val="24"/>
            </w:rPr>
          </w:pPr>
          <w:r w:rsidRPr="004E60E0">
            <w:rPr>
              <w:rFonts w:ascii="Times New Roman" w:eastAsia="Times New Roman" w:hAnsi="Times New Roman" w:cs="Times New Roman"/>
              <w:b/>
              <w:color w:val="FFFFFF"/>
              <w:sz w:val="20"/>
              <w:szCs w:val="24"/>
            </w:rPr>
            <w:t>Pág. 2</w:t>
          </w:r>
          <w:r>
            <w:rPr>
              <w:rFonts w:ascii="Times New Roman" w:eastAsia="Times New Roman" w:hAnsi="Times New Roman" w:cs="Times New Roman"/>
              <w:b/>
              <w:color w:val="FFFFFF"/>
              <w:sz w:val="20"/>
              <w:szCs w:val="24"/>
            </w:rPr>
            <w:t>98-309</w:t>
          </w:r>
        </w:p>
      </w:tc>
    </w:tr>
  </w:tbl>
  <w:p w14:paraId="648E5408" w14:textId="77777777" w:rsidR="007F658E" w:rsidRDefault="007F658E">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13717"/>
    <w:rsid w:val="0007473E"/>
    <w:rsid w:val="00080A8E"/>
    <w:rsid w:val="00083862"/>
    <w:rsid w:val="00093506"/>
    <w:rsid w:val="00093C66"/>
    <w:rsid w:val="000C0C1F"/>
    <w:rsid w:val="001030A9"/>
    <w:rsid w:val="00137FEF"/>
    <w:rsid w:val="00157DD7"/>
    <w:rsid w:val="001D6F32"/>
    <w:rsid w:val="002100E2"/>
    <w:rsid w:val="002539EC"/>
    <w:rsid w:val="00265979"/>
    <w:rsid w:val="0026601E"/>
    <w:rsid w:val="00274AA2"/>
    <w:rsid w:val="002C1C6C"/>
    <w:rsid w:val="00337AFE"/>
    <w:rsid w:val="00357ED7"/>
    <w:rsid w:val="00360CF7"/>
    <w:rsid w:val="00365C00"/>
    <w:rsid w:val="003A0DD4"/>
    <w:rsid w:val="003B1795"/>
    <w:rsid w:val="004165F2"/>
    <w:rsid w:val="00424BC2"/>
    <w:rsid w:val="00425F83"/>
    <w:rsid w:val="00441669"/>
    <w:rsid w:val="00441DC7"/>
    <w:rsid w:val="004619A0"/>
    <w:rsid w:val="004E60E0"/>
    <w:rsid w:val="004F66AB"/>
    <w:rsid w:val="00501F05"/>
    <w:rsid w:val="00531D56"/>
    <w:rsid w:val="005333B4"/>
    <w:rsid w:val="00535C69"/>
    <w:rsid w:val="00541135"/>
    <w:rsid w:val="00581EE3"/>
    <w:rsid w:val="005B1B4D"/>
    <w:rsid w:val="005F414A"/>
    <w:rsid w:val="006233A3"/>
    <w:rsid w:val="0063134D"/>
    <w:rsid w:val="0063565A"/>
    <w:rsid w:val="006617AE"/>
    <w:rsid w:val="006B1383"/>
    <w:rsid w:val="006B795D"/>
    <w:rsid w:val="006D41EF"/>
    <w:rsid w:val="006F44DD"/>
    <w:rsid w:val="006F795C"/>
    <w:rsid w:val="00716226"/>
    <w:rsid w:val="00742F92"/>
    <w:rsid w:val="0079262F"/>
    <w:rsid w:val="007C1741"/>
    <w:rsid w:val="007F569F"/>
    <w:rsid w:val="007F658E"/>
    <w:rsid w:val="00830179"/>
    <w:rsid w:val="00831167"/>
    <w:rsid w:val="00876961"/>
    <w:rsid w:val="00882C93"/>
    <w:rsid w:val="00887085"/>
    <w:rsid w:val="00912814"/>
    <w:rsid w:val="00920F7B"/>
    <w:rsid w:val="009602A2"/>
    <w:rsid w:val="00965D5C"/>
    <w:rsid w:val="00972420"/>
    <w:rsid w:val="00975652"/>
    <w:rsid w:val="009864E1"/>
    <w:rsid w:val="009A0F6E"/>
    <w:rsid w:val="009A5927"/>
    <w:rsid w:val="00A05E4D"/>
    <w:rsid w:val="00A2553D"/>
    <w:rsid w:val="00A32780"/>
    <w:rsid w:val="00A41E4A"/>
    <w:rsid w:val="00AB1FA0"/>
    <w:rsid w:val="00B06158"/>
    <w:rsid w:val="00B31D65"/>
    <w:rsid w:val="00BA6A0F"/>
    <w:rsid w:val="00C7085A"/>
    <w:rsid w:val="00CB0CC8"/>
    <w:rsid w:val="00CF0E6C"/>
    <w:rsid w:val="00D027A7"/>
    <w:rsid w:val="00D411F3"/>
    <w:rsid w:val="00D55C44"/>
    <w:rsid w:val="00D87014"/>
    <w:rsid w:val="00E44DE3"/>
    <w:rsid w:val="00EA4F03"/>
    <w:rsid w:val="00EC1D35"/>
    <w:rsid w:val="00F35B1F"/>
    <w:rsid w:val="00F613FD"/>
    <w:rsid w:val="00FA6362"/>
    <w:rsid w:val="00FE1BDE"/>
    <w:rsid w:val="083E5252"/>
    <w:rsid w:val="092F3D18"/>
    <w:rsid w:val="094B71AA"/>
    <w:rsid w:val="0B38135D"/>
    <w:rsid w:val="0BCA3E72"/>
    <w:rsid w:val="0D1741EC"/>
    <w:rsid w:val="11E066C9"/>
    <w:rsid w:val="174D7C90"/>
    <w:rsid w:val="181E6768"/>
    <w:rsid w:val="18E9481A"/>
    <w:rsid w:val="227D4FA9"/>
    <w:rsid w:val="27260676"/>
    <w:rsid w:val="27797198"/>
    <w:rsid w:val="283500C5"/>
    <w:rsid w:val="2FEC00E5"/>
    <w:rsid w:val="329421C2"/>
    <w:rsid w:val="3A6371FD"/>
    <w:rsid w:val="3B7A2536"/>
    <w:rsid w:val="3E6D2101"/>
    <w:rsid w:val="433A7B48"/>
    <w:rsid w:val="479209A7"/>
    <w:rsid w:val="47B71162"/>
    <w:rsid w:val="4C9825C9"/>
    <w:rsid w:val="4D614280"/>
    <w:rsid w:val="554F11A0"/>
    <w:rsid w:val="5E8425FB"/>
    <w:rsid w:val="6020731C"/>
    <w:rsid w:val="649B3F27"/>
    <w:rsid w:val="652341F0"/>
    <w:rsid w:val="6AEA6FC2"/>
    <w:rsid w:val="6D4C55C5"/>
    <w:rsid w:val="6E996CF7"/>
    <w:rsid w:val="74B47963"/>
    <w:rsid w:val="786A240A"/>
    <w:rsid w:val="78A75C87"/>
    <w:rsid w:val="78BD1574"/>
    <w:rsid w:val="7CF6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E6F3"/>
  <w15:docId w15:val="{FC71B435-A986-4DFC-BA2D-FC2847FF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extonotapieCar">
    <w:name w:val="Texto nota pie Car"/>
    <w:basedOn w:val="Fuentedeprrafopredeter"/>
    <w:link w:val="Textonotapie"/>
    <w:uiPriority w:val="99"/>
    <w:semiHidden/>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716226"/>
    <w:rPr>
      <w:color w:val="605E5C"/>
      <w:shd w:val="clear" w:color="auto" w:fill="E1DFDD"/>
    </w:rPr>
  </w:style>
  <w:style w:type="table" w:customStyle="1" w:styleId="Tablaconcuadrcula1">
    <w:name w:val="Tabla con cuadrícula1"/>
    <w:basedOn w:val="Tablanormal"/>
    <w:next w:val="Tablaconcuadrcula"/>
    <w:uiPriority w:val="39"/>
    <w:rsid w:val="004E60E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imad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9-0003-8551-94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0506-037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A2273-DB59-445C-9777-074BC28D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3477</Words>
  <Characters>19824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35</cp:revision>
  <cp:lastPrinted>2025-04-29T22:05:00Z</cp:lastPrinted>
  <dcterms:created xsi:type="dcterms:W3CDTF">2025-03-18T21:27:00Z</dcterms:created>
  <dcterms:modified xsi:type="dcterms:W3CDTF">2025-04-29T22:06:00Z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8BB1577EC3744104AEF6F353D5911492_12</vt:lpwstr>
  </property>
</Properties>
</file>