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1D9D" w14:textId="4E82BDA7" w:rsidR="00093506" w:rsidRPr="00FA664B" w:rsidRDefault="00441669" w:rsidP="0011127B">
      <w:pPr>
        <w:spacing w:line="360" w:lineRule="auto"/>
        <w:jc w:val="center"/>
        <w:rPr>
          <w:rFonts w:ascii="Times New Roman" w:hAnsi="Times New Roman" w:cs="Times New Roman"/>
          <w:bCs/>
          <w:sz w:val="24"/>
        </w:rPr>
      </w:pPr>
      <w:r w:rsidRPr="00FA664B">
        <w:rPr>
          <w:rFonts w:ascii="Times New Roman" w:hAnsi="Times New Roman" w:cs="Times New Roman"/>
          <w:bCs/>
          <w:sz w:val="24"/>
        </w:rPr>
        <w:t xml:space="preserve">Preparación de los especialistas del CDO para el diagnóstico psicopedagógico de educandos con indicadores de </w:t>
      </w:r>
      <w:r w:rsidR="00FA664B" w:rsidRPr="00FA664B">
        <w:rPr>
          <w:rFonts w:ascii="Times New Roman" w:hAnsi="Times New Roman" w:cs="Times New Roman"/>
          <w:bCs/>
          <w:sz w:val="24"/>
        </w:rPr>
        <w:t>Autismo</w:t>
      </w:r>
    </w:p>
    <w:p w14:paraId="61D94A12" w14:textId="4F8C1595" w:rsidR="0011127B" w:rsidRPr="00FD24E2" w:rsidRDefault="00FA664B" w:rsidP="0011127B">
      <w:pPr>
        <w:spacing w:line="360" w:lineRule="auto"/>
        <w:jc w:val="center"/>
        <w:rPr>
          <w:rFonts w:ascii="Times New Roman" w:hAnsi="Times New Roman" w:cs="Times New Roman"/>
          <w:bCs/>
          <w:sz w:val="24"/>
          <w:lang w:val="en-US"/>
        </w:rPr>
      </w:pPr>
      <w:r w:rsidRPr="00FD24E2">
        <w:rPr>
          <w:rFonts w:ascii="Times New Roman" w:hAnsi="Times New Roman" w:cs="Times New Roman"/>
          <w:bCs/>
          <w:sz w:val="24"/>
          <w:lang w:val="en-US"/>
        </w:rPr>
        <w:t xml:space="preserve">Training of CDO specialists for the </w:t>
      </w:r>
      <w:proofErr w:type="spellStart"/>
      <w:r w:rsidRPr="00FD24E2">
        <w:rPr>
          <w:rFonts w:ascii="Times New Roman" w:hAnsi="Times New Roman" w:cs="Times New Roman"/>
          <w:bCs/>
          <w:sz w:val="24"/>
          <w:lang w:val="en-US"/>
        </w:rPr>
        <w:t>psychopedagogical</w:t>
      </w:r>
      <w:proofErr w:type="spellEnd"/>
      <w:r w:rsidRPr="00FD24E2">
        <w:rPr>
          <w:rFonts w:ascii="Times New Roman" w:hAnsi="Times New Roman" w:cs="Times New Roman"/>
          <w:bCs/>
          <w:sz w:val="24"/>
          <w:lang w:val="en-US"/>
        </w:rPr>
        <w:t xml:space="preserve"> diagnosis of students with autism indicators</w:t>
      </w:r>
    </w:p>
    <w:p w14:paraId="0E45BB46" w14:textId="77777777" w:rsidR="00093506" w:rsidRPr="00FD24E2" w:rsidRDefault="00093506">
      <w:pPr>
        <w:widowControl w:val="0"/>
        <w:jc w:val="center"/>
        <w:rPr>
          <w:rFonts w:ascii="Times New Roman" w:hAnsi="Times New Roman" w:cs="Times New Roman"/>
          <w:bCs/>
          <w:sz w:val="24"/>
          <w:lang w:val="en-US"/>
        </w:rPr>
      </w:pPr>
    </w:p>
    <w:p w14:paraId="176E45C2" w14:textId="138F4F57" w:rsidR="00093506" w:rsidRPr="000C650E" w:rsidRDefault="0011127B">
      <w:pPr>
        <w:widowControl w:val="0"/>
        <w:jc w:val="right"/>
        <w:rPr>
          <w:rFonts w:ascii="Times New Roman" w:hAnsi="Times New Roman" w:cs="Times New Roman"/>
          <w:b/>
          <w:bCs/>
          <w:i/>
          <w:iCs/>
          <w:sz w:val="24"/>
          <w:szCs w:val="24"/>
        </w:rPr>
      </w:pPr>
      <w:r w:rsidRPr="000C650E">
        <w:rPr>
          <w:rFonts w:ascii="Times New Roman" w:hAnsi="Times New Roman" w:cs="Times New Roman"/>
          <w:b/>
          <w:bCs/>
          <w:i/>
          <w:iCs/>
          <w:sz w:val="24"/>
          <w:szCs w:val="24"/>
        </w:rPr>
        <w:t>A</w:t>
      </w:r>
      <w:r w:rsidR="00441669" w:rsidRPr="000C650E">
        <w:rPr>
          <w:rFonts w:ascii="Times New Roman" w:hAnsi="Times New Roman" w:cs="Times New Roman"/>
          <w:b/>
          <w:bCs/>
          <w:i/>
          <w:iCs/>
          <w:sz w:val="24"/>
          <w:szCs w:val="24"/>
        </w:rPr>
        <w:t>rtículo</w:t>
      </w:r>
      <w:r w:rsidRPr="000C650E">
        <w:rPr>
          <w:rFonts w:ascii="Times New Roman" w:hAnsi="Times New Roman" w:cs="Times New Roman"/>
          <w:b/>
          <w:bCs/>
          <w:i/>
          <w:iCs/>
          <w:sz w:val="24"/>
          <w:szCs w:val="24"/>
        </w:rPr>
        <w:t xml:space="preserve"> de investigación </w:t>
      </w:r>
    </w:p>
    <w:p w14:paraId="7C76EEDA" w14:textId="77777777" w:rsidR="00093506" w:rsidRPr="000C650E" w:rsidRDefault="00441669">
      <w:pPr>
        <w:widowControl w:val="0"/>
        <w:rPr>
          <w:rFonts w:ascii="Times New Roman" w:hAnsi="Times New Roman" w:cs="Times New Roman"/>
          <w:b/>
          <w:sz w:val="28"/>
          <w:szCs w:val="24"/>
        </w:rPr>
      </w:pPr>
      <w:r w:rsidRPr="000C650E">
        <w:rPr>
          <w:rFonts w:ascii="Times New Roman" w:hAnsi="Times New Roman" w:cs="Times New Roman"/>
          <w:b/>
          <w:sz w:val="28"/>
          <w:szCs w:val="24"/>
        </w:rPr>
        <w:t>AUTOR (ES):</w:t>
      </w:r>
    </w:p>
    <w:p w14:paraId="79B6170E" w14:textId="40B63E6E" w:rsidR="00093506" w:rsidRPr="000C650E" w:rsidRDefault="00441669" w:rsidP="00BF54BC">
      <w:pPr>
        <w:widowControl w:val="0"/>
        <w:spacing w:after="0" w:line="360" w:lineRule="auto"/>
        <w:ind w:left="426"/>
        <w:rPr>
          <w:rFonts w:ascii="Times New Roman" w:hAnsi="Times New Roman" w:cs="Times New Roman"/>
          <w:sz w:val="24"/>
          <w:szCs w:val="24"/>
        </w:rPr>
      </w:pPr>
      <w:proofErr w:type="spellStart"/>
      <w:r w:rsidRPr="000C650E">
        <w:rPr>
          <w:rFonts w:ascii="Times New Roman" w:hAnsi="Times New Roman" w:cs="Times New Roman"/>
          <w:sz w:val="24"/>
          <w:szCs w:val="24"/>
        </w:rPr>
        <w:t>M</w:t>
      </w:r>
      <w:r w:rsidR="00BF54BC">
        <w:rPr>
          <w:rFonts w:ascii="Times New Roman" w:hAnsi="Times New Roman" w:cs="Times New Roman"/>
          <w:sz w:val="24"/>
          <w:szCs w:val="24"/>
        </w:rPr>
        <w:t>.S</w:t>
      </w:r>
      <w:r w:rsidRPr="000C650E">
        <w:rPr>
          <w:rFonts w:ascii="Times New Roman" w:hAnsi="Times New Roman" w:cs="Times New Roman"/>
          <w:sz w:val="24"/>
          <w:szCs w:val="24"/>
        </w:rPr>
        <w:t>c</w:t>
      </w:r>
      <w:proofErr w:type="spellEnd"/>
      <w:r w:rsidRPr="000C650E">
        <w:rPr>
          <w:rFonts w:ascii="Times New Roman" w:hAnsi="Times New Roman" w:cs="Times New Roman"/>
          <w:sz w:val="24"/>
          <w:szCs w:val="24"/>
        </w:rPr>
        <w:t>. Edwin Torres Olivera</w:t>
      </w:r>
      <w:r w:rsidR="00FA664B">
        <w:rPr>
          <w:rStyle w:val="Refdenotaalpie"/>
          <w:rFonts w:ascii="Times New Roman" w:hAnsi="Times New Roman" w:cs="Times New Roman"/>
          <w:sz w:val="24"/>
          <w:szCs w:val="24"/>
        </w:rPr>
        <w:footnoteReference w:id="1"/>
      </w:r>
    </w:p>
    <w:p w14:paraId="599F69A6" w14:textId="50220EF8" w:rsidR="00093506" w:rsidRPr="000C650E" w:rsidRDefault="00441669" w:rsidP="00BF54BC">
      <w:pPr>
        <w:widowControl w:val="0"/>
        <w:spacing w:after="0" w:line="360" w:lineRule="auto"/>
        <w:ind w:left="426"/>
        <w:rPr>
          <w:rFonts w:ascii="Times New Roman" w:hAnsi="Times New Roman" w:cs="Times New Roman"/>
          <w:i/>
          <w:sz w:val="24"/>
          <w:szCs w:val="24"/>
        </w:rPr>
      </w:pPr>
      <w:r w:rsidRPr="000C650E">
        <w:rPr>
          <w:rFonts w:ascii="Times New Roman" w:hAnsi="Times New Roman" w:cs="Times New Roman"/>
          <w:i/>
          <w:sz w:val="24"/>
          <w:szCs w:val="24"/>
        </w:rPr>
        <w:t>Correo: edwintorresoliver</w:t>
      </w:r>
      <w:r w:rsidR="00887085" w:rsidRPr="000C650E">
        <w:rPr>
          <w:rFonts w:ascii="Times New Roman" w:hAnsi="Times New Roman" w:cs="Times New Roman"/>
          <w:i/>
          <w:sz w:val="24"/>
          <w:szCs w:val="24"/>
        </w:rPr>
        <w:t>@</w:t>
      </w:r>
      <w:r w:rsidRPr="000C650E">
        <w:rPr>
          <w:rFonts w:ascii="Times New Roman" w:hAnsi="Times New Roman" w:cs="Times New Roman"/>
          <w:i/>
          <w:sz w:val="24"/>
          <w:szCs w:val="24"/>
        </w:rPr>
        <w:t>gmail.com</w:t>
      </w:r>
    </w:p>
    <w:p w14:paraId="53A4DEFE" w14:textId="6B9ECAFB" w:rsidR="00093506" w:rsidRPr="000C650E" w:rsidRDefault="00441669" w:rsidP="00BF54BC">
      <w:pPr>
        <w:widowControl w:val="0"/>
        <w:spacing w:after="0" w:line="360" w:lineRule="auto"/>
        <w:ind w:left="426"/>
        <w:rPr>
          <w:rFonts w:ascii="Times New Roman" w:hAnsi="Times New Roman" w:cs="Times New Roman"/>
          <w:i/>
          <w:sz w:val="24"/>
          <w:szCs w:val="24"/>
        </w:rPr>
      </w:pPr>
      <w:r w:rsidRPr="000C650E">
        <w:rPr>
          <w:rFonts w:ascii="Times New Roman" w:hAnsi="Times New Roman" w:cs="Times New Roman"/>
          <w:i/>
          <w:sz w:val="24"/>
          <w:szCs w:val="24"/>
        </w:rPr>
        <w:t xml:space="preserve">Código </w:t>
      </w:r>
      <w:proofErr w:type="spellStart"/>
      <w:r w:rsidRPr="000C650E">
        <w:rPr>
          <w:rFonts w:ascii="Times New Roman" w:hAnsi="Times New Roman" w:cs="Times New Roman"/>
          <w:i/>
          <w:sz w:val="24"/>
          <w:szCs w:val="24"/>
        </w:rPr>
        <w:t>orcid</w:t>
      </w:r>
      <w:proofErr w:type="spellEnd"/>
      <w:r w:rsidRPr="000C650E">
        <w:rPr>
          <w:rFonts w:ascii="Times New Roman" w:hAnsi="Times New Roman" w:cs="Times New Roman"/>
          <w:i/>
          <w:sz w:val="24"/>
          <w:szCs w:val="24"/>
        </w:rPr>
        <w:t>:</w:t>
      </w:r>
      <w:r w:rsidR="00357ED7" w:rsidRPr="000C650E">
        <w:rPr>
          <w:rFonts w:ascii="Times New Roman" w:hAnsi="Times New Roman" w:cs="Times New Roman"/>
        </w:rPr>
        <w:t xml:space="preserve"> </w:t>
      </w:r>
      <w:hyperlink r:id="rId7" w:history="1">
        <w:r w:rsidR="006B1383" w:rsidRPr="000C650E">
          <w:rPr>
            <w:rStyle w:val="Hipervnculo"/>
            <w:rFonts w:ascii="Times New Roman" w:hAnsi="Times New Roman" w:cs="Times New Roman"/>
          </w:rPr>
          <w:t>https://orcid.org/</w:t>
        </w:r>
        <w:r w:rsidR="006B1383" w:rsidRPr="000C650E">
          <w:rPr>
            <w:rStyle w:val="Hipervnculo"/>
            <w:rFonts w:ascii="Times New Roman" w:hAnsi="Times New Roman" w:cs="Times New Roman"/>
            <w:i/>
            <w:sz w:val="24"/>
            <w:szCs w:val="24"/>
          </w:rPr>
          <w:t>0009-0003-8551-9433</w:t>
        </w:r>
      </w:hyperlink>
    </w:p>
    <w:p w14:paraId="23BD6A5B" w14:textId="4F3331C2" w:rsidR="006B1383" w:rsidRPr="000C650E" w:rsidRDefault="006B1383" w:rsidP="00BF54BC">
      <w:pPr>
        <w:widowControl w:val="0"/>
        <w:spacing w:after="0" w:line="360" w:lineRule="auto"/>
        <w:ind w:left="426"/>
        <w:rPr>
          <w:rFonts w:ascii="Times New Roman" w:hAnsi="Times New Roman" w:cs="Times New Roman"/>
          <w:sz w:val="24"/>
          <w:szCs w:val="24"/>
        </w:rPr>
      </w:pPr>
      <w:r w:rsidRPr="000C650E">
        <w:rPr>
          <w:rFonts w:ascii="Times New Roman" w:hAnsi="Times New Roman" w:cs="Times New Roman"/>
          <w:sz w:val="24"/>
          <w:szCs w:val="24"/>
        </w:rPr>
        <w:t xml:space="preserve">Dr. C. </w:t>
      </w:r>
      <w:proofErr w:type="spellStart"/>
      <w:r w:rsidRPr="000C650E">
        <w:rPr>
          <w:rFonts w:ascii="Times New Roman" w:hAnsi="Times New Roman" w:cs="Times New Roman"/>
          <w:sz w:val="24"/>
          <w:szCs w:val="24"/>
        </w:rPr>
        <w:t>Arahy</w:t>
      </w:r>
      <w:proofErr w:type="spellEnd"/>
      <w:r w:rsidRPr="000C650E">
        <w:rPr>
          <w:rFonts w:ascii="Times New Roman" w:hAnsi="Times New Roman" w:cs="Times New Roman"/>
          <w:sz w:val="24"/>
          <w:szCs w:val="24"/>
        </w:rPr>
        <w:t xml:space="preserve"> Martín Ruíz</w:t>
      </w:r>
      <w:r w:rsidR="0067666A">
        <w:rPr>
          <w:rStyle w:val="Refdenotaalpie"/>
          <w:rFonts w:ascii="Times New Roman" w:hAnsi="Times New Roman" w:cs="Times New Roman"/>
          <w:sz w:val="24"/>
          <w:szCs w:val="24"/>
        </w:rPr>
        <w:footnoteReference w:id="2"/>
      </w:r>
    </w:p>
    <w:p w14:paraId="6739E3D6" w14:textId="45A520FA" w:rsidR="006B1383" w:rsidRPr="000C650E" w:rsidRDefault="006B1383" w:rsidP="00BF54BC">
      <w:pPr>
        <w:widowControl w:val="0"/>
        <w:spacing w:after="0" w:line="360" w:lineRule="auto"/>
        <w:ind w:left="426"/>
        <w:rPr>
          <w:rFonts w:ascii="Times New Roman" w:hAnsi="Times New Roman" w:cs="Times New Roman"/>
          <w:sz w:val="24"/>
          <w:szCs w:val="24"/>
        </w:rPr>
      </w:pPr>
      <w:r w:rsidRPr="000C650E">
        <w:rPr>
          <w:rFonts w:ascii="Times New Roman" w:hAnsi="Times New Roman" w:cs="Times New Roman"/>
          <w:i/>
          <w:sz w:val="24"/>
          <w:szCs w:val="24"/>
        </w:rPr>
        <w:t>Correo: arahy.martin@oei.int</w:t>
      </w:r>
    </w:p>
    <w:p w14:paraId="79A2AA65" w14:textId="1F839131" w:rsidR="006B1383" w:rsidRPr="000C650E" w:rsidRDefault="006B1383" w:rsidP="00BF54BC">
      <w:pPr>
        <w:widowControl w:val="0"/>
        <w:spacing w:after="0" w:line="360" w:lineRule="auto"/>
        <w:ind w:left="426"/>
        <w:rPr>
          <w:rFonts w:ascii="Times New Roman" w:hAnsi="Times New Roman" w:cs="Times New Roman"/>
          <w:bCs/>
          <w:sz w:val="24"/>
          <w:szCs w:val="24"/>
          <w:u w:val="single"/>
          <w:lang w:val="es-MX"/>
        </w:rPr>
      </w:pPr>
      <w:r w:rsidRPr="000C650E">
        <w:rPr>
          <w:rFonts w:ascii="Times New Roman" w:hAnsi="Times New Roman" w:cs="Times New Roman"/>
          <w:i/>
          <w:sz w:val="24"/>
          <w:szCs w:val="24"/>
        </w:rPr>
        <w:t xml:space="preserve">Código </w:t>
      </w:r>
      <w:proofErr w:type="spellStart"/>
      <w:r w:rsidRPr="000C650E">
        <w:rPr>
          <w:rFonts w:ascii="Times New Roman" w:hAnsi="Times New Roman" w:cs="Times New Roman"/>
          <w:i/>
          <w:sz w:val="24"/>
          <w:szCs w:val="24"/>
        </w:rPr>
        <w:t>orcid</w:t>
      </w:r>
      <w:proofErr w:type="spellEnd"/>
      <w:r w:rsidRPr="000C650E">
        <w:rPr>
          <w:rFonts w:ascii="Times New Roman" w:hAnsi="Times New Roman" w:cs="Times New Roman"/>
          <w:i/>
          <w:sz w:val="24"/>
          <w:szCs w:val="24"/>
        </w:rPr>
        <w:t xml:space="preserve">: </w:t>
      </w:r>
      <w:hyperlink r:id="rId8" w:history="1">
        <w:r w:rsidRPr="000C650E">
          <w:rPr>
            <w:rStyle w:val="Hipervnculo"/>
            <w:rFonts w:ascii="Times New Roman" w:hAnsi="Times New Roman" w:cs="Times New Roman"/>
            <w:bCs/>
            <w:sz w:val="24"/>
            <w:szCs w:val="24"/>
            <w:lang w:val="es-MX"/>
          </w:rPr>
          <w:t>https://orcid.org/0000-0001-7302-4546</w:t>
        </w:r>
      </w:hyperlink>
    </w:p>
    <w:p w14:paraId="59D28D0B" w14:textId="570FB7FD" w:rsidR="006B1383" w:rsidRPr="000C650E" w:rsidRDefault="006B1383" w:rsidP="00BF54BC">
      <w:pPr>
        <w:widowControl w:val="0"/>
        <w:spacing w:after="0" w:line="360" w:lineRule="auto"/>
        <w:ind w:left="426"/>
        <w:rPr>
          <w:rFonts w:ascii="Times New Roman" w:hAnsi="Times New Roman" w:cs="Times New Roman"/>
          <w:sz w:val="24"/>
          <w:szCs w:val="24"/>
        </w:rPr>
      </w:pPr>
      <w:r w:rsidRPr="000C650E">
        <w:rPr>
          <w:rFonts w:ascii="Times New Roman" w:hAnsi="Times New Roman" w:cs="Times New Roman"/>
          <w:sz w:val="24"/>
          <w:szCs w:val="24"/>
        </w:rPr>
        <w:t>Especialista de proyecto OEI. Cuba</w:t>
      </w:r>
    </w:p>
    <w:p w14:paraId="111243C6" w14:textId="77777777" w:rsidR="006B1383" w:rsidRPr="000C650E" w:rsidRDefault="006B1383" w:rsidP="006B1383">
      <w:pPr>
        <w:widowControl w:val="0"/>
        <w:spacing w:after="0"/>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093506" w:rsidRPr="000C650E" w14:paraId="4E7D9A56" w14:textId="77777777">
        <w:tc>
          <w:tcPr>
            <w:tcW w:w="2942" w:type="dxa"/>
            <w:shd w:val="clear" w:color="auto" w:fill="00B0F0"/>
          </w:tcPr>
          <w:p w14:paraId="14143E25" w14:textId="77777777" w:rsidR="00093506" w:rsidRPr="000C650E" w:rsidRDefault="00441669">
            <w:pPr>
              <w:widowControl w:val="0"/>
              <w:spacing w:after="0" w:line="240" w:lineRule="auto"/>
              <w:jc w:val="center"/>
              <w:rPr>
                <w:rFonts w:ascii="Times New Roman" w:hAnsi="Times New Roman" w:cs="Times New Roman"/>
                <w:b/>
                <w:sz w:val="24"/>
              </w:rPr>
            </w:pPr>
            <w:r w:rsidRPr="000C650E">
              <w:rPr>
                <w:rFonts w:ascii="Times New Roman" w:hAnsi="Times New Roman" w:cs="Times New Roman"/>
                <w:b/>
                <w:sz w:val="24"/>
              </w:rPr>
              <w:t>Recibido</w:t>
            </w:r>
          </w:p>
        </w:tc>
        <w:tc>
          <w:tcPr>
            <w:tcW w:w="2943" w:type="dxa"/>
            <w:shd w:val="clear" w:color="auto" w:fill="00B0F0"/>
          </w:tcPr>
          <w:p w14:paraId="67A0DEFD" w14:textId="77777777" w:rsidR="00093506" w:rsidRPr="000C650E" w:rsidRDefault="00441669">
            <w:pPr>
              <w:widowControl w:val="0"/>
              <w:spacing w:after="0" w:line="240" w:lineRule="auto"/>
              <w:jc w:val="center"/>
              <w:rPr>
                <w:rFonts w:ascii="Times New Roman" w:hAnsi="Times New Roman" w:cs="Times New Roman"/>
                <w:b/>
                <w:sz w:val="24"/>
              </w:rPr>
            </w:pPr>
            <w:r w:rsidRPr="000C650E">
              <w:rPr>
                <w:rFonts w:ascii="Times New Roman" w:hAnsi="Times New Roman" w:cs="Times New Roman"/>
                <w:b/>
                <w:sz w:val="24"/>
              </w:rPr>
              <w:t>Aprobado</w:t>
            </w:r>
          </w:p>
        </w:tc>
        <w:tc>
          <w:tcPr>
            <w:tcW w:w="2943" w:type="dxa"/>
            <w:shd w:val="clear" w:color="auto" w:fill="00B0F0"/>
          </w:tcPr>
          <w:p w14:paraId="2197900A" w14:textId="77777777" w:rsidR="00093506" w:rsidRPr="000C650E" w:rsidRDefault="00441669">
            <w:pPr>
              <w:widowControl w:val="0"/>
              <w:spacing w:after="0" w:line="240" w:lineRule="auto"/>
              <w:jc w:val="center"/>
              <w:rPr>
                <w:rFonts w:ascii="Times New Roman" w:hAnsi="Times New Roman" w:cs="Times New Roman"/>
                <w:b/>
                <w:sz w:val="24"/>
              </w:rPr>
            </w:pPr>
            <w:r w:rsidRPr="000C650E">
              <w:rPr>
                <w:rFonts w:ascii="Times New Roman" w:hAnsi="Times New Roman" w:cs="Times New Roman"/>
                <w:b/>
                <w:sz w:val="24"/>
              </w:rPr>
              <w:t>Publicado</w:t>
            </w:r>
          </w:p>
        </w:tc>
      </w:tr>
      <w:tr w:rsidR="00093506" w:rsidRPr="000C650E" w14:paraId="4CD168F2" w14:textId="77777777">
        <w:tc>
          <w:tcPr>
            <w:tcW w:w="2942" w:type="dxa"/>
          </w:tcPr>
          <w:p w14:paraId="4396B2C1" w14:textId="7682F78B" w:rsidR="00093506" w:rsidRPr="000C650E" w:rsidRDefault="004F31EE" w:rsidP="004F31EE">
            <w:pPr>
              <w:widowControl w:val="0"/>
              <w:tabs>
                <w:tab w:val="left" w:pos="1860"/>
              </w:tabs>
              <w:spacing w:after="0" w:line="240" w:lineRule="auto"/>
              <w:rPr>
                <w:rFonts w:ascii="Times New Roman" w:hAnsi="Times New Roman" w:cs="Times New Roman"/>
                <w:sz w:val="24"/>
              </w:rPr>
            </w:pPr>
            <w:r>
              <w:rPr>
                <w:rFonts w:ascii="Times New Roman" w:hAnsi="Times New Roman" w:cs="Times New Roman"/>
                <w:sz w:val="24"/>
              </w:rPr>
              <w:t>2 de febrero de 2024</w:t>
            </w:r>
          </w:p>
        </w:tc>
        <w:tc>
          <w:tcPr>
            <w:tcW w:w="2943" w:type="dxa"/>
          </w:tcPr>
          <w:p w14:paraId="075463F8" w14:textId="58D49332" w:rsidR="00093506" w:rsidRPr="000C650E" w:rsidRDefault="004F31EE">
            <w:pPr>
              <w:widowControl w:val="0"/>
              <w:spacing w:after="0" w:line="240" w:lineRule="auto"/>
              <w:jc w:val="center"/>
              <w:rPr>
                <w:rFonts w:ascii="Times New Roman" w:hAnsi="Times New Roman" w:cs="Times New Roman"/>
                <w:sz w:val="24"/>
              </w:rPr>
            </w:pPr>
            <w:r>
              <w:rPr>
                <w:rFonts w:ascii="Times New Roman" w:hAnsi="Times New Roman" w:cs="Times New Roman"/>
                <w:sz w:val="24"/>
              </w:rPr>
              <w:t>17 de abril de 2024</w:t>
            </w:r>
          </w:p>
        </w:tc>
        <w:tc>
          <w:tcPr>
            <w:tcW w:w="2943" w:type="dxa"/>
          </w:tcPr>
          <w:p w14:paraId="4B8BCA01" w14:textId="5A450156" w:rsidR="00093506" w:rsidRPr="000C650E" w:rsidRDefault="004F31EE">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10 de mayo de 2024 </w:t>
            </w:r>
          </w:p>
        </w:tc>
      </w:tr>
    </w:tbl>
    <w:p w14:paraId="18B3EAED" w14:textId="77777777" w:rsidR="00093506" w:rsidRPr="000C650E" w:rsidRDefault="00093506">
      <w:pPr>
        <w:widowControl w:val="0"/>
        <w:rPr>
          <w:rFonts w:ascii="Times New Roman" w:hAnsi="Times New Roman" w:cs="Times New Roman"/>
          <w:sz w:val="24"/>
        </w:rPr>
      </w:pPr>
    </w:p>
    <w:p w14:paraId="6D3F8E47" w14:textId="77777777" w:rsidR="00BF54BC" w:rsidRDefault="00BF54BC">
      <w:pPr>
        <w:widowControl w:val="0"/>
        <w:spacing w:line="360" w:lineRule="auto"/>
        <w:rPr>
          <w:rFonts w:ascii="Times New Roman" w:eastAsia="Calibri" w:hAnsi="Times New Roman" w:cs="Times New Roman"/>
          <w:b/>
          <w:bCs/>
          <w:sz w:val="28"/>
          <w:szCs w:val="24"/>
        </w:rPr>
      </w:pPr>
    </w:p>
    <w:p w14:paraId="494845DD" w14:textId="2A85E218" w:rsidR="00093506" w:rsidRPr="000C650E" w:rsidRDefault="00441669">
      <w:pPr>
        <w:widowControl w:val="0"/>
        <w:spacing w:line="360" w:lineRule="auto"/>
        <w:rPr>
          <w:rFonts w:ascii="Times New Roman" w:eastAsia="Calibri" w:hAnsi="Times New Roman" w:cs="Times New Roman"/>
          <w:b/>
          <w:bCs/>
          <w:sz w:val="28"/>
          <w:szCs w:val="24"/>
        </w:rPr>
      </w:pPr>
      <w:r w:rsidRPr="000C650E">
        <w:rPr>
          <w:rFonts w:ascii="Times New Roman" w:eastAsia="Calibri" w:hAnsi="Times New Roman" w:cs="Times New Roman"/>
          <w:b/>
          <w:bCs/>
          <w:sz w:val="28"/>
          <w:szCs w:val="24"/>
        </w:rPr>
        <w:t xml:space="preserve">Resumen </w:t>
      </w:r>
    </w:p>
    <w:p w14:paraId="74ACF8DD" w14:textId="77777777" w:rsidR="00093506" w:rsidRPr="000C650E" w:rsidRDefault="00441669">
      <w:pPr>
        <w:widowControl w:val="0"/>
        <w:spacing w:line="360" w:lineRule="auto"/>
        <w:jc w:val="both"/>
        <w:rPr>
          <w:rFonts w:ascii="Times New Roman" w:eastAsia="Calibri" w:hAnsi="Times New Roman" w:cs="Times New Roman"/>
          <w:sz w:val="24"/>
          <w:szCs w:val="24"/>
        </w:rPr>
      </w:pPr>
      <w:r w:rsidRPr="000C650E">
        <w:rPr>
          <w:rFonts w:ascii="Times New Roman" w:eastAsia="Calibri" w:hAnsi="Times New Roman" w:cs="Times New Roman"/>
          <w:sz w:val="24"/>
          <w:szCs w:val="24"/>
        </w:rPr>
        <w:t xml:space="preserve">El actual contexto educativo exige de elevar la calidad de los procesos que en él se desarrollan, en este marco la atención al diagnóstico especializado constituye una respuesta que corresponde a los especialistas de los Centros de Diagnóstico y Orientación (CDO). La preparación de los especialistas del CDO del municipio de Diez de Octubre, constituye una necesidad para asumir dicha tarea con especial atención en los educandos con indicadores de un Trastorno del Espectro de Autismo (TEA). A partir de </w:t>
      </w:r>
      <w:r w:rsidRPr="000C650E">
        <w:rPr>
          <w:rFonts w:ascii="Times New Roman" w:eastAsia="Calibri" w:hAnsi="Times New Roman" w:cs="Times New Roman"/>
          <w:sz w:val="24"/>
          <w:szCs w:val="24"/>
        </w:rPr>
        <w:lastRenderedPageBreak/>
        <w:t>estas condiciones se presenta un sistema de talleres para la preparación de los especialistas para asumir el diagnóstico especializado de educandos con indicadores de TEA, sobre la base del enfoque histórico-cultural, enriquecido por un manual de apoyo que favorece la actualización teórico-metodológico de las prácticas para el diagnóstico psicopedagógico. Mediante la aplicación de la puesta en práctica se comprobó la factibilidad de la propuesta vista en la transformación positiva de los especialistas del CDO de Diez de Octubre.</w:t>
      </w:r>
    </w:p>
    <w:p w14:paraId="2AD41E5D" w14:textId="046B4050" w:rsidR="00093506" w:rsidRPr="00F3308E" w:rsidRDefault="0011127B">
      <w:pPr>
        <w:widowControl w:val="0"/>
        <w:spacing w:after="0" w:line="360" w:lineRule="auto"/>
        <w:jc w:val="both"/>
        <w:rPr>
          <w:rFonts w:ascii="Times New Roman" w:eastAsia="Calibri" w:hAnsi="Times New Roman" w:cs="Times New Roman"/>
          <w:sz w:val="24"/>
          <w:szCs w:val="24"/>
          <w:lang w:val="es-MX"/>
        </w:rPr>
      </w:pPr>
      <w:r w:rsidRPr="000C650E">
        <w:rPr>
          <w:rFonts w:ascii="Times New Roman" w:eastAsia="Calibri" w:hAnsi="Times New Roman" w:cs="Times New Roman"/>
          <w:bCs/>
          <w:i/>
          <w:color w:val="000000"/>
          <w:sz w:val="24"/>
          <w:szCs w:val="24"/>
          <w:lang w:val="es-MX"/>
        </w:rPr>
        <w:t>Palabras clave</w:t>
      </w:r>
      <w:r w:rsidR="00441669" w:rsidRPr="000C650E">
        <w:rPr>
          <w:rFonts w:ascii="Times New Roman" w:eastAsia="Calibri" w:hAnsi="Times New Roman" w:cs="Times New Roman"/>
          <w:bCs/>
          <w:i/>
          <w:color w:val="000000"/>
          <w:sz w:val="24"/>
          <w:szCs w:val="24"/>
          <w:lang w:val="es-MX"/>
        </w:rPr>
        <w:t>:</w:t>
      </w:r>
      <w:r w:rsidR="00441669" w:rsidRPr="000C650E">
        <w:rPr>
          <w:rFonts w:ascii="Times New Roman" w:eastAsia="Calibri" w:hAnsi="Times New Roman" w:cs="Times New Roman"/>
          <w:i/>
          <w:iCs/>
          <w:color w:val="000000"/>
          <w:sz w:val="24"/>
          <w:szCs w:val="24"/>
          <w:lang w:val="es-MX"/>
        </w:rPr>
        <w:t xml:space="preserve"> </w:t>
      </w:r>
      <w:r w:rsidR="00357ED7" w:rsidRPr="00F3308E">
        <w:rPr>
          <w:rFonts w:ascii="Times New Roman" w:eastAsia="Calibri" w:hAnsi="Times New Roman" w:cs="Times New Roman"/>
          <w:color w:val="000000"/>
          <w:sz w:val="24"/>
          <w:szCs w:val="24"/>
        </w:rPr>
        <w:t>preparaciones especialistas</w:t>
      </w:r>
      <w:r w:rsidR="00441669" w:rsidRPr="00F3308E">
        <w:rPr>
          <w:rFonts w:ascii="Times New Roman" w:eastAsia="Calibri" w:hAnsi="Times New Roman" w:cs="Times New Roman"/>
          <w:color w:val="000000"/>
          <w:sz w:val="24"/>
          <w:szCs w:val="24"/>
        </w:rPr>
        <w:t>, diagnóstico psicopedagógico, trastorno del espectro de autismo</w:t>
      </w:r>
      <w:r w:rsidR="00441669" w:rsidRPr="00F3308E">
        <w:rPr>
          <w:rFonts w:ascii="Times New Roman" w:eastAsia="Calibri" w:hAnsi="Times New Roman" w:cs="Times New Roman"/>
          <w:sz w:val="24"/>
          <w:szCs w:val="24"/>
          <w:lang w:val="es-MX"/>
        </w:rPr>
        <w:t>.</w:t>
      </w:r>
    </w:p>
    <w:p w14:paraId="42D27612" w14:textId="3707178D" w:rsidR="00357ED7" w:rsidRPr="00FD24E2" w:rsidRDefault="00357ED7" w:rsidP="00357ED7">
      <w:pPr>
        <w:widowControl w:val="0"/>
        <w:spacing w:line="360" w:lineRule="auto"/>
        <w:rPr>
          <w:rFonts w:ascii="Times New Roman" w:eastAsia="Calibri" w:hAnsi="Times New Roman" w:cs="Times New Roman"/>
          <w:b/>
          <w:bCs/>
          <w:sz w:val="28"/>
          <w:szCs w:val="24"/>
          <w:lang w:val="en-US"/>
        </w:rPr>
      </w:pPr>
      <w:r w:rsidRPr="00FD24E2">
        <w:rPr>
          <w:rFonts w:ascii="Times New Roman" w:eastAsia="Calibri" w:hAnsi="Times New Roman" w:cs="Times New Roman"/>
          <w:b/>
          <w:bCs/>
          <w:sz w:val="28"/>
          <w:szCs w:val="24"/>
          <w:lang w:val="en-US"/>
        </w:rPr>
        <w:t>Abstract</w:t>
      </w:r>
    </w:p>
    <w:p w14:paraId="057E2CF8" w14:textId="77777777" w:rsidR="00357ED7" w:rsidRPr="00FD24E2" w:rsidRDefault="00357ED7">
      <w:pPr>
        <w:widowControl w:val="0"/>
        <w:spacing w:after="0" w:line="360" w:lineRule="auto"/>
        <w:jc w:val="both"/>
        <w:rPr>
          <w:rFonts w:ascii="Times New Roman" w:eastAsia="Calibri" w:hAnsi="Times New Roman" w:cs="Times New Roman"/>
          <w:iCs/>
          <w:sz w:val="24"/>
          <w:szCs w:val="24"/>
          <w:lang w:val="en-US"/>
        </w:rPr>
      </w:pPr>
      <w:r w:rsidRPr="00FD24E2">
        <w:rPr>
          <w:rFonts w:ascii="Times New Roman" w:eastAsia="Calibri" w:hAnsi="Times New Roman" w:cs="Times New Roman"/>
          <w:iCs/>
          <w:sz w:val="24"/>
          <w:szCs w:val="24"/>
          <w:lang w:val="en-US"/>
        </w:rPr>
        <w:t xml:space="preserve">The current educational context demands an increase in the quality of the processes carried out within it. Within this framework, specialized diagnostic care is the responsibility of the specialists at the Diagnostic and Guidance Centers (CDO). The training of specialists within the multidisciplinary team of the municipality of Diez de </w:t>
      </w:r>
      <w:proofErr w:type="spellStart"/>
      <w:r w:rsidRPr="00FD24E2">
        <w:rPr>
          <w:rFonts w:ascii="Times New Roman" w:eastAsia="Calibri" w:hAnsi="Times New Roman" w:cs="Times New Roman"/>
          <w:iCs/>
          <w:sz w:val="24"/>
          <w:szCs w:val="24"/>
          <w:lang w:val="en-US"/>
        </w:rPr>
        <w:t>Octubre</w:t>
      </w:r>
      <w:proofErr w:type="spellEnd"/>
      <w:r w:rsidRPr="00FD24E2">
        <w:rPr>
          <w:rFonts w:ascii="Times New Roman" w:eastAsia="Calibri" w:hAnsi="Times New Roman" w:cs="Times New Roman"/>
          <w:iCs/>
          <w:sz w:val="24"/>
          <w:szCs w:val="24"/>
          <w:lang w:val="en-US"/>
        </w:rPr>
        <w:t xml:space="preserve"> is necessary to assume the task of specialized diagnosis, with greater attention to students with indicators of </w:t>
      </w:r>
      <w:proofErr w:type="gramStart"/>
      <w:r w:rsidRPr="00FD24E2">
        <w:rPr>
          <w:rFonts w:ascii="Times New Roman" w:eastAsia="Calibri" w:hAnsi="Times New Roman" w:cs="Times New Roman"/>
          <w:iCs/>
          <w:sz w:val="24"/>
          <w:szCs w:val="24"/>
          <w:lang w:val="en-US"/>
        </w:rPr>
        <w:t>Autism Spectrum Disorder</w:t>
      </w:r>
      <w:proofErr w:type="gramEnd"/>
      <w:r w:rsidRPr="00FD24E2">
        <w:rPr>
          <w:rFonts w:ascii="Times New Roman" w:eastAsia="Calibri" w:hAnsi="Times New Roman" w:cs="Times New Roman"/>
          <w:iCs/>
          <w:sz w:val="24"/>
          <w:szCs w:val="24"/>
          <w:lang w:val="en-US"/>
        </w:rPr>
        <w:t xml:space="preserve"> (ASD). Based on these conditions, a system of workshops is presented for the preparation of specialists to undertake specialized diagnosis of students with ASD indicators. This is based on a historical-cultural approach, enriched by a support manual that promotes the theoretical and methodological updating of </w:t>
      </w:r>
      <w:proofErr w:type="spellStart"/>
      <w:r w:rsidRPr="00FD24E2">
        <w:rPr>
          <w:rFonts w:ascii="Times New Roman" w:eastAsia="Calibri" w:hAnsi="Times New Roman" w:cs="Times New Roman"/>
          <w:iCs/>
          <w:sz w:val="24"/>
          <w:szCs w:val="24"/>
          <w:lang w:val="en-US"/>
        </w:rPr>
        <w:t>psychopedagogical</w:t>
      </w:r>
      <w:proofErr w:type="spellEnd"/>
      <w:r w:rsidRPr="00FD24E2">
        <w:rPr>
          <w:rFonts w:ascii="Times New Roman" w:eastAsia="Calibri" w:hAnsi="Times New Roman" w:cs="Times New Roman"/>
          <w:iCs/>
          <w:sz w:val="24"/>
          <w:szCs w:val="24"/>
          <w:lang w:val="en-US"/>
        </w:rPr>
        <w:t xml:space="preserve"> diagnostic practices. Through the implementation of the proposal, the feasibility of the positive transformation of the specialists at the CDO in Diez de </w:t>
      </w:r>
      <w:proofErr w:type="spellStart"/>
      <w:r w:rsidRPr="00FD24E2">
        <w:rPr>
          <w:rFonts w:ascii="Times New Roman" w:eastAsia="Calibri" w:hAnsi="Times New Roman" w:cs="Times New Roman"/>
          <w:iCs/>
          <w:sz w:val="24"/>
          <w:szCs w:val="24"/>
          <w:lang w:val="en-US"/>
        </w:rPr>
        <w:t>Octubre</w:t>
      </w:r>
      <w:proofErr w:type="spellEnd"/>
      <w:r w:rsidRPr="00FD24E2">
        <w:rPr>
          <w:rFonts w:ascii="Times New Roman" w:eastAsia="Calibri" w:hAnsi="Times New Roman" w:cs="Times New Roman"/>
          <w:iCs/>
          <w:sz w:val="24"/>
          <w:szCs w:val="24"/>
          <w:lang w:val="en-US"/>
        </w:rPr>
        <w:t xml:space="preserve"> was verified.</w:t>
      </w:r>
    </w:p>
    <w:p w14:paraId="032D948E" w14:textId="18BEBA3B" w:rsidR="0011127B" w:rsidRDefault="00357ED7" w:rsidP="00116869">
      <w:pPr>
        <w:widowControl w:val="0"/>
        <w:spacing w:after="0" w:line="360" w:lineRule="auto"/>
        <w:jc w:val="both"/>
        <w:rPr>
          <w:rFonts w:ascii="Times New Roman" w:eastAsia="Calibri" w:hAnsi="Times New Roman" w:cs="Times New Roman"/>
          <w:sz w:val="24"/>
          <w:szCs w:val="24"/>
          <w:lang w:val="en-US"/>
        </w:rPr>
      </w:pPr>
      <w:r w:rsidRPr="00FD24E2">
        <w:rPr>
          <w:rFonts w:ascii="Times New Roman" w:eastAsia="Calibri" w:hAnsi="Times New Roman" w:cs="Times New Roman"/>
          <w:i/>
          <w:iCs/>
          <w:sz w:val="24"/>
          <w:szCs w:val="24"/>
          <w:lang w:val="en-US"/>
        </w:rPr>
        <w:t>Keywords</w:t>
      </w:r>
      <w:r w:rsidRPr="00FD24E2">
        <w:rPr>
          <w:rFonts w:ascii="Times New Roman" w:eastAsia="Calibri" w:hAnsi="Times New Roman" w:cs="Times New Roman"/>
          <w:sz w:val="24"/>
          <w:szCs w:val="24"/>
          <w:lang w:val="en-US"/>
        </w:rPr>
        <w:t xml:space="preserve">: specialist preparation, </w:t>
      </w:r>
      <w:proofErr w:type="spellStart"/>
      <w:r w:rsidRPr="00FD24E2">
        <w:rPr>
          <w:rFonts w:ascii="Times New Roman" w:eastAsia="Calibri" w:hAnsi="Times New Roman" w:cs="Times New Roman"/>
          <w:sz w:val="24"/>
          <w:szCs w:val="24"/>
          <w:lang w:val="en-US"/>
        </w:rPr>
        <w:t>psychopedagogical</w:t>
      </w:r>
      <w:proofErr w:type="spellEnd"/>
      <w:r w:rsidRPr="00FD24E2">
        <w:rPr>
          <w:rFonts w:ascii="Times New Roman" w:eastAsia="Calibri" w:hAnsi="Times New Roman" w:cs="Times New Roman"/>
          <w:sz w:val="24"/>
          <w:szCs w:val="24"/>
          <w:lang w:val="en-US"/>
        </w:rPr>
        <w:t xml:space="preserve"> diagnosis, autism spectrum disorder.</w:t>
      </w:r>
    </w:p>
    <w:p w14:paraId="29D58E32" w14:textId="77777777" w:rsidR="00116869" w:rsidRPr="00116869" w:rsidRDefault="00116869" w:rsidP="00116869">
      <w:pPr>
        <w:widowControl w:val="0"/>
        <w:spacing w:after="0" w:line="360" w:lineRule="auto"/>
        <w:jc w:val="both"/>
        <w:rPr>
          <w:rFonts w:ascii="Times New Roman" w:eastAsia="Calibri" w:hAnsi="Times New Roman" w:cs="Times New Roman"/>
          <w:sz w:val="24"/>
          <w:szCs w:val="24"/>
          <w:lang w:val="en-US"/>
        </w:rPr>
      </w:pPr>
    </w:p>
    <w:p w14:paraId="269D94CD" w14:textId="77777777" w:rsidR="00093506" w:rsidRPr="000C650E" w:rsidRDefault="00441669">
      <w:pPr>
        <w:widowControl w:val="0"/>
        <w:spacing w:line="360" w:lineRule="auto"/>
        <w:jc w:val="center"/>
        <w:rPr>
          <w:rFonts w:ascii="Times New Roman" w:eastAsia="Calibri" w:hAnsi="Times New Roman" w:cs="Times New Roman"/>
          <w:b/>
          <w:sz w:val="28"/>
          <w:szCs w:val="24"/>
          <w:lang w:val="es-MX"/>
        </w:rPr>
      </w:pPr>
      <w:r w:rsidRPr="000C650E">
        <w:rPr>
          <w:rFonts w:ascii="Times New Roman" w:eastAsia="Calibri" w:hAnsi="Times New Roman" w:cs="Times New Roman"/>
          <w:b/>
          <w:sz w:val="28"/>
          <w:szCs w:val="24"/>
          <w:lang w:val="es-MX"/>
        </w:rPr>
        <w:t>INTRODUCCIÓN</w:t>
      </w:r>
    </w:p>
    <w:p w14:paraId="06624D19" w14:textId="3481E796" w:rsidR="00093506" w:rsidRPr="000C650E" w:rsidRDefault="00441669">
      <w:pPr>
        <w:spacing w:after="0" w:line="360" w:lineRule="auto"/>
        <w:jc w:val="both"/>
        <w:rPr>
          <w:rFonts w:ascii="Times New Roman" w:hAnsi="Times New Roman" w:cs="Times New Roman"/>
          <w:sz w:val="24"/>
          <w:szCs w:val="24"/>
          <w:lang w:val="es-CO"/>
        </w:rPr>
      </w:pPr>
      <w:r w:rsidRPr="000C650E">
        <w:rPr>
          <w:rFonts w:ascii="Times New Roman" w:hAnsi="Times New Roman" w:cs="Times New Roman"/>
          <w:sz w:val="24"/>
          <w:szCs w:val="24"/>
        </w:rPr>
        <w:t xml:space="preserve">Son innegables los logros alcanzados por nuestro país en la esfera educacional durante todos estos años. En ellos ha sido fundamental la importancia concedida a la preparación de los agentes educativos para asumir la dirección de un proceso educativo de mayor calidad. En este proceso, los especialistas de los </w:t>
      </w:r>
      <w:r w:rsidRPr="000C650E">
        <w:rPr>
          <w:rFonts w:ascii="Times New Roman" w:hAnsi="Times New Roman" w:cs="Times New Roman"/>
          <w:sz w:val="24"/>
          <w:szCs w:val="24"/>
        </w:rPr>
        <w:lastRenderedPageBreak/>
        <w:t>Centros de Diagnóstico y Orientación (</w:t>
      </w:r>
      <w:r w:rsidR="00357ED7" w:rsidRPr="000C650E">
        <w:rPr>
          <w:rFonts w:ascii="Times New Roman" w:hAnsi="Times New Roman" w:cs="Times New Roman"/>
          <w:sz w:val="24"/>
          <w:szCs w:val="24"/>
        </w:rPr>
        <w:t>CDO) juegan</w:t>
      </w:r>
      <w:r w:rsidRPr="000C650E">
        <w:rPr>
          <w:rFonts w:ascii="Times New Roman" w:hAnsi="Times New Roman" w:cs="Times New Roman"/>
          <w:sz w:val="24"/>
          <w:szCs w:val="24"/>
        </w:rPr>
        <w:t xml:space="preserve"> un rol fundamental. </w:t>
      </w:r>
      <w:r w:rsidRPr="000C650E">
        <w:rPr>
          <w:rFonts w:ascii="Times New Roman" w:hAnsi="Times New Roman" w:cs="Times New Roman"/>
          <w:sz w:val="24"/>
          <w:szCs w:val="24"/>
          <w:lang w:val="es-CO"/>
        </w:rPr>
        <w:t xml:space="preserve">Ahora bien, a partir del </w:t>
      </w:r>
      <w:r w:rsidRPr="000C650E">
        <w:rPr>
          <w:rFonts w:ascii="Times New Roman" w:hAnsi="Times New Roman" w:cs="Times New Roman"/>
          <w:sz w:val="24"/>
          <w:szCs w:val="24"/>
        </w:rPr>
        <w:t xml:space="preserve">Tercer Perfeccionamiento del Sistema Nacional de Educación (SNE), los CDO como parte del sistema educativo, trabajan para elevar la calidad de los servicios que ofrecen. </w:t>
      </w:r>
      <w:r w:rsidRPr="000C650E">
        <w:rPr>
          <w:rFonts w:ascii="Times New Roman" w:hAnsi="Times New Roman" w:cs="Times New Roman"/>
          <w:sz w:val="24"/>
          <w:szCs w:val="24"/>
          <w:lang w:val="es-CO"/>
        </w:rPr>
        <w:t>La preparación que tienen sus especialistas para asumir el proceso de evaluación y diagnóstico; condicionado por su carácter procesal, desarrollador, optimista, personalizado y científico constituye un elemento condicionante para el éxito.</w:t>
      </w:r>
    </w:p>
    <w:p w14:paraId="04347CA5" w14:textId="5520FEB4"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Cs/>
          <w:sz w:val="24"/>
          <w:szCs w:val="24"/>
          <w:lang w:val="es-MX"/>
        </w:rPr>
        <w:t xml:space="preserve">Entre los investigadores cubanos que han contribuido al estudio teórico y metodológico sobre el diagnóstico psicopedagógico en Cuba se encuentran: </w:t>
      </w:r>
      <w:bookmarkStart w:id="0" w:name="_Hlk193210265"/>
      <w:r w:rsidRPr="000C650E">
        <w:rPr>
          <w:rFonts w:ascii="Times New Roman" w:hAnsi="Times New Roman" w:cs="Times New Roman"/>
          <w:sz w:val="24"/>
          <w:szCs w:val="24"/>
          <w:lang w:val="es-MX"/>
        </w:rPr>
        <w:t>Arias G. (1986,1999); Torres M. (1995</w:t>
      </w:r>
      <w:r w:rsidR="00D87014" w:rsidRPr="000C650E">
        <w:rPr>
          <w:rFonts w:ascii="Times New Roman" w:hAnsi="Times New Roman" w:cs="Times New Roman"/>
          <w:sz w:val="24"/>
          <w:szCs w:val="24"/>
          <w:lang w:val="es-MX"/>
        </w:rPr>
        <w:t>,2000</w:t>
      </w:r>
      <w:r w:rsidRPr="000C650E">
        <w:rPr>
          <w:rFonts w:ascii="Times New Roman" w:hAnsi="Times New Roman" w:cs="Times New Roman"/>
          <w:sz w:val="24"/>
          <w:szCs w:val="24"/>
          <w:lang w:val="es-MX"/>
        </w:rPr>
        <w:t xml:space="preserve">); Álvarez, C. (1998, 2002, 2003); </w:t>
      </w:r>
      <w:r w:rsidRPr="000C650E">
        <w:rPr>
          <w:rFonts w:ascii="Times New Roman" w:hAnsi="Times New Roman" w:cs="Times New Roman"/>
          <w:bCs/>
          <w:sz w:val="24"/>
          <w:szCs w:val="24"/>
          <w:lang w:val="es-MX"/>
        </w:rPr>
        <w:t>(2000);</w:t>
      </w:r>
      <w:r w:rsidRPr="000C650E">
        <w:rPr>
          <w:rFonts w:ascii="Times New Roman" w:hAnsi="Times New Roman" w:cs="Times New Roman"/>
          <w:sz w:val="24"/>
          <w:szCs w:val="24"/>
          <w:lang w:val="es-MX"/>
        </w:rPr>
        <w:t xml:space="preserve"> Betancourt J. (2002); </w:t>
      </w:r>
      <w:proofErr w:type="spellStart"/>
      <w:r w:rsidRPr="000C650E">
        <w:rPr>
          <w:rFonts w:ascii="Times New Roman" w:hAnsi="Times New Roman" w:cs="Times New Roman"/>
          <w:bCs/>
          <w:sz w:val="24"/>
          <w:szCs w:val="24"/>
          <w:lang w:val="es-MX"/>
        </w:rPr>
        <w:t>Acudovich</w:t>
      </w:r>
      <w:proofErr w:type="spellEnd"/>
      <w:r w:rsidRPr="000C650E">
        <w:rPr>
          <w:rFonts w:ascii="Times New Roman" w:hAnsi="Times New Roman" w:cs="Times New Roman"/>
          <w:bCs/>
          <w:sz w:val="24"/>
          <w:szCs w:val="24"/>
          <w:lang w:val="es-MX"/>
        </w:rPr>
        <w:t xml:space="preserve">, </w:t>
      </w:r>
      <w:r w:rsidRPr="000C650E">
        <w:rPr>
          <w:rFonts w:ascii="Times New Roman" w:hAnsi="Times New Roman" w:cs="Times New Roman"/>
          <w:sz w:val="24"/>
          <w:szCs w:val="24"/>
          <w:lang w:val="es-MX"/>
        </w:rPr>
        <w:t>S. (</w:t>
      </w:r>
      <w:r w:rsidRPr="000C650E">
        <w:rPr>
          <w:rFonts w:ascii="Times New Roman" w:hAnsi="Times New Roman" w:cs="Times New Roman"/>
          <w:bCs/>
          <w:sz w:val="24"/>
          <w:szCs w:val="24"/>
          <w:lang w:val="es-MX"/>
        </w:rPr>
        <w:t>2004); Zurita, C. (2011); Leyva, M. (2012)</w:t>
      </w:r>
      <w:bookmarkEnd w:id="0"/>
      <w:r w:rsidRPr="000C650E">
        <w:rPr>
          <w:rFonts w:ascii="Times New Roman" w:hAnsi="Times New Roman" w:cs="Times New Roman"/>
          <w:bCs/>
          <w:sz w:val="24"/>
          <w:szCs w:val="24"/>
          <w:lang w:val="es-MX"/>
        </w:rPr>
        <w:t xml:space="preserve">. </w:t>
      </w:r>
      <w:r w:rsidRPr="000C650E">
        <w:rPr>
          <w:rFonts w:ascii="Times New Roman" w:hAnsi="Times New Roman" w:cs="Times New Roman"/>
          <w:sz w:val="24"/>
          <w:szCs w:val="24"/>
        </w:rPr>
        <w:t xml:space="preserve">Tiene como base científico-metodológica el materialismo dialéctico e histórico y se fundamenta en los aportes de ciencias tales como: la Filosofía, la Sociología, la Psicología y la Pedagogía. </w:t>
      </w:r>
    </w:p>
    <w:p w14:paraId="6C9E812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El arsenal teórico y metodológico que ofrece el diagnóstico psicopedagógico constituye una valiosa herramienta y medio fundamental para el trabajo que desarrollan los equipos del CDO. Mediante este proceso se realiza la toma de decisiones para la atención a la diversidad de los educandos con necesidades educativas especiales (NEE) en el contexto educativo cubano.</w:t>
      </w:r>
    </w:p>
    <w:p w14:paraId="17CCE23A"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Dentro de estas NEE, una manifestación compleja de las particularidades del desarrollo lo constituyen los educandos con indicadores del Trastorno del Espectro de Autismo (TEA). La sistematización de las fuentes bibliográficas evidencia que, desde una perspectiva clínica, hace más de 50 años se presta atención al estudio de esta entidad por especialistas de perfil médico. Sin embargo, es uno de los trastornos generalizados del desarrollo de más reciente atención por la Pedagogía Especial tanto en el mundo como en Cuba. </w:t>
      </w:r>
    </w:p>
    <w:p w14:paraId="2A0F7BB3" w14:textId="03698543"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Desde la perspectiva clínica se plantea que el TEA, posee un amplio espectro de manifestaciones (daños cualitativos en las relaciones sociales, conductas repetitivas y estereotipadas, la comunicación y la aparición de intereses restringidos). </w:t>
      </w:r>
      <w:r w:rsidR="00357ED7" w:rsidRPr="000C650E">
        <w:rPr>
          <w:rFonts w:ascii="Times New Roman" w:hAnsi="Times New Roman" w:cs="Times New Roman"/>
          <w:sz w:val="24"/>
          <w:szCs w:val="24"/>
        </w:rPr>
        <w:t>Además,</w:t>
      </w:r>
      <w:r w:rsidRPr="000C650E">
        <w:rPr>
          <w:rFonts w:ascii="Times New Roman" w:hAnsi="Times New Roman" w:cs="Times New Roman"/>
          <w:sz w:val="24"/>
          <w:szCs w:val="24"/>
        </w:rPr>
        <w:t xml:space="preserve"> se plantea que existen diferentes factores causales que interactúan, de manera tal que en las concepciones más actuales se considera un síndrome multifactorial, por </w:t>
      </w:r>
      <w:r w:rsidR="00357ED7" w:rsidRPr="000C650E">
        <w:rPr>
          <w:rFonts w:ascii="Times New Roman" w:hAnsi="Times New Roman" w:cs="Times New Roman"/>
          <w:sz w:val="24"/>
          <w:szCs w:val="24"/>
        </w:rPr>
        <w:t>tanto,</w:t>
      </w:r>
      <w:r w:rsidRPr="000C650E">
        <w:rPr>
          <w:rFonts w:ascii="Times New Roman" w:hAnsi="Times New Roman" w:cs="Times New Roman"/>
          <w:sz w:val="24"/>
          <w:szCs w:val="24"/>
        </w:rPr>
        <w:t xml:space="preserve"> se puede afirmar que el proceso de diagnóstico para definir las condiciones del desarrollo de un educando constituye un proceso muy complejo.</w:t>
      </w:r>
    </w:p>
    <w:p w14:paraId="2F09577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lastRenderedPageBreak/>
        <w:t xml:space="preserve">En el entorno internacional autores como: Kanner, (1943); Asperger, (1944); </w:t>
      </w:r>
      <w:proofErr w:type="spellStart"/>
      <w:r w:rsidRPr="000C650E">
        <w:rPr>
          <w:rFonts w:ascii="Times New Roman" w:hAnsi="Times New Roman" w:cs="Times New Roman"/>
          <w:sz w:val="24"/>
          <w:szCs w:val="24"/>
        </w:rPr>
        <w:t>Wing</w:t>
      </w:r>
      <w:proofErr w:type="spellEnd"/>
      <w:r w:rsidRPr="000C650E">
        <w:rPr>
          <w:rFonts w:ascii="Times New Roman" w:hAnsi="Times New Roman" w:cs="Times New Roman"/>
          <w:sz w:val="24"/>
          <w:szCs w:val="24"/>
        </w:rPr>
        <w:t xml:space="preserve">, (1982); </w:t>
      </w:r>
      <w:proofErr w:type="spellStart"/>
      <w:r w:rsidRPr="000C650E">
        <w:rPr>
          <w:rFonts w:ascii="Times New Roman" w:hAnsi="Times New Roman" w:cs="Times New Roman"/>
          <w:sz w:val="24"/>
          <w:szCs w:val="24"/>
        </w:rPr>
        <w:t>Riviere</w:t>
      </w:r>
      <w:proofErr w:type="spellEnd"/>
      <w:r w:rsidRPr="000C650E">
        <w:rPr>
          <w:rFonts w:ascii="Times New Roman" w:hAnsi="Times New Roman" w:cs="Times New Roman"/>
          <w:sz w:val="24"/>
          <w:szCs w:val="24"/>
        </w:rPr>
        <w:t>, (1990); Frith, (1991); Gray &amp; Castellanos, (1995); Tamarit, J. (1998) han realizados valiosos aportes al diagnóstico clínico de las características de las personas con TEA. Estas investigaciones coinciden en establecer características epidemiológicas comunes para el TEA tanto genéticas como neurológicas.</w:t>
      </w:r>
    </w:p>
    <w:p w14:paraId="146C8CF4"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En este marco se destacan autores cubanos como: </w:t>
      </w:r>
      <w:r w:rsidRPr="000C650E">
        <w:rPr>
          <w:rFonts w:ascii="Times New Roman" w:hAnsi="Times New Roman" w:cs="Times New Roman"/>
          <w:sz w:val="24"/>
          <w:szCs w:val="24"/>
          <w:lang w:val="es-VE"/>
        </w:rPr>
        <w:t>Martínez, C. (1998); Rodríguez, O. Velásquez, J. (2001) y Ravelo,</w:t>
      </w:r>
      <w:r w:rsidRPr="000C650E">
        <w:rPr>
          <w:rFonts w:ascii="Times New Roman" w:hAnsi="Times New Roman" w:cs="Times New Roman"/>
          <w:sz w:val="24"/>
          <w:szCs w:val="24"/>
        </w:rPr>
        <w:t xml:space="preserve"> V</w:t>
      </w:r>
      <w:r w:rsidRPr="000C650E">
        <w:rPr>
          <w:rFonts w:ascii="Times New Roman" w:hAnsi="Times New Roman" w:cs="Times New Roman"/>
          <w:sz w:val="24"/>
          <w:szCs w:val="24"/>
          <w:lang w:val="es-VE"/>
        </w:rPr>
        <w:t>. (2002);</w:t>
      </w:r>
      <w:r w:rsidRPr="000C650E">
        <w:rPr>
          <w:rFonts w:ascii="Times New Roman" w:hAnsi="Times New Roman" w:cs="Times New Roman"/>
          <w:sz w:val="24"/>
          <w:szCs w:val="24"/>
        </w:rPr>
        <w:t xml:space="preserve"> Gómez, I. (2008); Morejón, L. (2009); </w:t>
      </w:r>
      <w:proofErr w:type="spellStart"/>
      <w:r w:rsidRPr="000C650E">
        <w:rPr>
          <w:rFonts w:ascii="Times New Roman" w:hAnsi="Times New Roman" w:cs="Times New Roman"/>
          <w:sz w:val="24"/>
          <w:szCs w:val="24"/>
        </w:rPr>
        <w:t>Demósthene</w:t>
      </w:r>
      <w:proofErr w:type="spellEnd"/>
      <w:r w:rsidRPr="000C650E">
        <w:rPr>
          <w:rFonts w:ascii="Times New Roman" w:hAnsi="Times New Roman" w:cs="Times New Roman"/>
          <w:sz w:val="24"/>
          <w:szCs w:val="24"/>
        </w:rPr>
        <w:t>, Y. (2010); Orosco, M. (2012); Campo, I. (2012). Sus empeños han significado valiosos aportes dirigidos fundamentalmente a la búsqueda de alternativas para la atención integral de los educandos con esta condición del desarrollo.</w:t>
      </w:r>
    </w:p>
    <w:p w14:paraId="23682CA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En el caso de la evaluación psicopedagógica en el TEA, autores como </w:t>
      </w:r>
      <w:bookmarkStart w:id="1" w:name="_Hlk193210550"/>
      <w:r w:rsidRPr="000C650E">
        <w:rPr>
          <w:rFonts w:ascii="Times New Roman" w:hAnsi="Times New Roman" w:cs="Times New Roman"/>
          <w:sz w:val="24"/>
          <w:szCs w:val="24"/>
        </w:rPr>
        <w:t xml:space="preserve">Jiménez, P. (1985); Garanto, J. (1993); Sanahuja, J.M. (1994); </w:t>
      </w:r>
      <w:proofErr w:type="spellStart"/>
      <w:r w:rsidRPr="000C650E">
        <w:rPr>
          <w:rFonts w:ascii="Times New Roman" w:hAnsi="Times New Roman" w:cs="Times New Roman"/>
          <w:sz w:val="24"/>
          <w:szCs w:val="24"/>
        </w:rPr>
        <w:t>Riviére</w:t>
      </w:r>
      <w:proofErr w:type="spellEnd"/>
      <w:r w:rsidRPr="000C650E">
        <w:rPr>
          <w:rFonts w:ascii="Times New Roman" w:hAnsi="Times New Roman" w:cs="Times New Roman"/>
          <w:sz w:val="24"/>
          <w:szCs w:val="24"/>
        </w:rPr>
        <w:t xml:space="preserve">, A. (1997); </w:t>
      </w:r>
      <w:proofErr w:type="spellStart"/>
      <w:r w:rsidRPr="000C650E">
        <w:rPr>
          <w:rFonts w:ascii="Times New Roman" w:hAnsi="Times New Roman" w:cs="Times New Roman"/>
          <w:sz w:val="24"/>
          <w:szCs w:val="24"/>
        </w:rPr>
        <w:t>Massani</w:t>
      </w:r>
      <w:proofErr w:type="spellEnd"/>
      <w:r w:rsidRPr="000C650E">
        <w:rPr>
          <w:rFonts w:ascii="Times New Roman" w:hAnsi="Times New Roman" w:cs="Times New Roman"/>
          <w:sz w:val="24"/>
          <w:szCs w:val="24"/>
        </w:rPr>
        <w:t xml:space="preserve"> J. F, (2009); Escalona, E. (2010); </w:t>
      </w:r>
      <w:bookmarkEnd w:id="1"/>
      <w:r w:rsidRPr="000C650E">
        <w:rPr>
          <w:rFonts w:ascii="Times New Roman" w:hAnsi="Times New Roman" w:cs="Times New Roman"/>
          <w:sz w:val="24"/>
          <w:szCs w:val="24"/>
        </w:rPr>
        <w:t xml:space="preserve">proponen diferentes metodologías para el diagnóstico psicopedagógico. Como punto común se destaca la importancia que conceden los investigadores antes mencionados a las variables referidas al contexto familiar, comunitario y escolar mediante el estudio de caso, así como el sistema de evaluación psicopedagógica del educando desde el contexto de la educación especial. </w:t>
      </w:r>
    </w:p>
    <w:p w14:paraId="6E84FAF8"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En este mismo orden se pudo constatar que estudiosos del tema como: </w:t>
      </w:r>
      <w:bookmarkStart w:id="2" w:name="_Hlk193210912"/>
      <w:r w:rsidRPr="000C650E">
        <w:rPr>
          <w:rFonts w:ascii="Times New Roman" w:hAnsi="Times New Roman" w:cs="Times New Roman"/>
          <w:sz w:val="24"/>
          <w:szCs w:val="24"/>
        </w:rPr>
        <w:t>Cruz, M. (2002); Ricardo, M. (2003); Noda, T. (2005); Leyva, D. (2008), Pérez, J. R. (2009); García A. M. (2009); Rodríguez, Z. I. (2011),</w:t>
      </w:r>
      <w:bookmarkEnd w:id="2"/>
      <w:r w:rsidRPr="000C650E">
        <w:rPr>
          <w:rFonts w:ascii="Times New Roman" w:hAnsi="Times New Roman" w:cs="Times New Roman"/>
          <w:sz w:val="24"/>
          <w:szCs w:val="24"/>
        </w:rPr>
        <w:t xml:space="preserve"> han realizado aportes referidos al trabajo de los especialistas del CDO. Estas investigaciones contribuyen a solucionar la carencia de normas internas que poseen los instrumentos tradicionales para el diagnóstico, la validación y adaptación de test; elementos de extraordinaria importancia para llevar a cabo la eficiencia en la práctica del diagnóstico en cualquiera de las variabilidades del desarrollo.</w:t>
      </w:r>
    </w:p>
    <w:p w14:paraId="7E9CFE2A" w14:textId="74905BEB"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La búsqueda realizada </w:t>
      </w:r>
      <w:r w:rsidR="006B1383" w:rsidRPr="000C650E">
        <w:rPr>
          <w:rFonts w:ascii="Times New Roman" w:hAnsi="Times New Roman" w:cs="Times New Roman"/>
          <w:sz w:val="24"/>
          <w:szCs w:val="24"/>
        </w:rPr>
        <w:t>permite afirmar</w:t>
      </w:r>
      <w:r w:rsidR="00357ED7" w:rsidRPr="000C650E">
        <w:rPr>
          <w:rFonts w:ascii="Times New Roman" w:hAnsi="Times New Roman" w:cs="Times New Roman"/>
          <w:sz w:val="24"/>
          <w:szCs w:val="24"/>
        </w:rPr>
        <w:t>,</w:t>
      </w:r>
      <w:r w:rsidRPr="000C650E">
        <w:rPr>
          <w:rFonts w:ascii="Times New Roman" w:hAnsi="Times New Roman" w:cs="Times New Roman"/>
          <w:sz w:val="24"/>
          <w:szCs w:val="24"/>
        </w:rPr>
        <w:t xml:space="preserve"> el diagnóstico psicopedagógico de los educandos con TEA en los CDO constituye un reto, no se han desarrollado investigaciones dirigidas al tema desde esta perspectiva.</w:t>
      </w:r>
    </w:p>
    <w:p w14:paraId="67CF9E0C" w14:textId="6809141A"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La preparación de los especialistas se realiza de forma sistemática con el objetivo de mejorar su desempeño. Se utilizan múltiples vías con este fin, no </w:t>
      </w:r>
      <w:r w:rsidR="006B1383" w:rsidRPr="000C650E">
        <w:rPr>
          <w:rFonts w:ascii="Times New Roman" w:hAnsi="Times New Roman" w:cs="Times New Roman"/>
          <w:sz w:val="24"/>
          <w:szCs w:val="24"/>
        </w:rPr>
        <w:t>obstante,</w:t>
      </w:r>
      <w:r w:rsidRPr="000C650E">
        <w:rPr>
          <w:rFonts w:ascii="Times New Roman" w:hAnsi="Times New Roman" w:cs="Times New Roman"/>
          <w:sz w:val="24"/>
          <w:szCs w:val="24"/>
        </w:rPr>
        <w:t xml:space="preserve"> dada la diversidad de especialistas que conforma los equipos, partiendo de la formación inicial, así como las múltiples tareas que desarrollan no siempre se satisfacen todas las necesidades para desarrollar el proceso de diagnóstico psicopedagógico </w:t>
      </w:r>
      <w:r w:rsidRPr="000C650E">
        <w:rPr>
          <w:rFonts w:ascii="Times New Roman" w:hAnsi="Times New Roman" w:cs="Times New Roman"/>
          <w:sz w:val="24"/>
          <w:szCs w:val="24"/>
        </w:rPr>
        <w:lastRenderedPageBreak/>
        <w:t xml:space="preserve">de la forma necesaria. </w:t>
      </w:r>
      <w:r w:rsidR="006B1383" w:rsidRPr="000C650E">
        <w:rPr>
          <w:rFonts w:ascii="Times New Roman" w:hAnsi="Times New Roman" w:cs="Times New Roman"/>
          <w:sz w:val="24"/>
          <w:szCs w:val="24"/>
        </w:rPr>
        <w:t xml:space="preserve">Por </w:t>
      </w:r>
      <w:r w:rsidR="00D87014" w:rsidRPr="000C650E">
        <w:rPr>
          <w:rFonts w:ascii="Times New Roman" w:hAnsi="Times New Roman" w:cs="Times New Roman"/>
          <w:sz w:val="24"/>
          <w:szCs w:val="24"/>
        </w:rPr>
        <w:t>consiguiente, la</w:t>
      </w:r>
      <w:r w:rsidRPr="000C650E">
        <w:rPr>
          <w:rFonts w:ascii="Times New Roman" w:hAnsi="Times New Roman" w:cs="Times New Roman"/>
          <w:sz w:val="24"/>
          <w:szCs w:val="24"/>
        </w:rPr>
        <w:t xml:space="preserve"> preparación de los especialistas para asumir el diagnóstico psicopedagógico de los educandos con TEA en el contexto educativo cubano aún no es suficiente.  </w:t>
      </w:r>
    </w:p>
    <w:p w14:paraId="22EF17E4"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De las entrevistas realizadas a especialistas del CDO y a otros profesionales con experiencia en el diagnóstico psicopedagógico, la práctica del investigador como psicólogo de uno de estos centros, así como la información obtenida de la revisión de expedientes psicopedagógicos se constató que existen:</w:t>
      </w:r>
    </w:p>
    <w:p w14:paraId="49743E06"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-Insuficiente preparación de los especialistas de los CDO para el asumir el diagnóstico de los educandos con indicadores de TEA.</w:t>
      </w:r>
    </w:p>
    <w:p w14:paraId="0B7C4EDD"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-Pobre existencia de métodos e instrumentos para la exploración y diagnóstico de los educandos con indicadores de TEA. </w:t>
      </w:r>
    </w:p>
    <w:p w14:paraId="3AEA303A"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-Pobre desarrollo de habilidades para la selección y utilización de métodos e instrumentos, para el diagnóstico de los educandos con indicadores de TEA según su individualidad.</w:t>
      </w:r>
    </w:p>
    <w:p w14:paraId="454906E6"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Es evidente entonces la necesidad de asumir con cientificidad el diseño de la preparación de estos especialistas, con el fin de favorecer su práctica profesional, en el orden teórico-metodológico, para alcanzar la calidad del diagnóstico como condición para la orientación e implementación de las estrategias de atención educativa, lo que favorecerá el perfeccionamiento de los servicios que prestan y la labor que realizan en respuesta a las demandas del contexto educativo actual.</w:t>
      </w:r>
    </w:p>
    <w:p w14:paraId="1D9A79A0"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Teniendo en cuenta lo antes expuesto, se identificó el </w:t>
      </w:r>
      <w:r w:rsidRPr="000C650E">
        <w:rPr>
          <w:rFonts w:ascii="Times New Roman" w:hAnsi="Times New Roman" w:cs="Times New Roman"/>
          <w:b/>
          <w:sz w:val="24"/>
          <w:szCs w:val="24"/>
        </w:rPr>
        <w:t>siguiente problema científico:</w:t>
      </w:r>
      <w:r w:rsidRPr="000C650E">
        <w:rPr>
          <w:rFonts w:ascii="Times New Roman" w:hAnsi="Times New Roman" w:cs="Times New Roman"/>
          <w:sz w:val="24"/>
          <w:szCs w:val="24"/>
        </w:rPr>
        <w:t xml:space="preserve"> ¿Cómo contribuir a la preparación de los especialistas del CDO para asumir el diagnóstico psicopedagógico de educandos con indicadores de TEA?</w:t>
      </w:r>
    </w:p>
    <w:p w14:paraId="4A38C152" w14:textId="396394AE" w:rsidR="00093506" w:rsidRPr="000C650E" w:rsidRDefault="00441669">
      <w:pPr>
        <w:spacing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Para poder dar solución al problema científico planteado se propone en la </w:t>
      </w:r>
      <w:r w:rsidR="00D027A7" w:rsidRPr="000C650E">
        <w:rPr>
          <w:rFonts w:ascii="Times New Roman" w:hAnsi="Times New Roman" w:cs="Times New Roman"/>
          <w:sz w:val="24"/>
          <w:szCs w:val="24"/>
        </w:rPr>
        <w:t>investigación como</w:t>
      </w:r>
      <w:r w:rsidRPr="000C650E">
        <w:rPr>
          <w:rFonts w:ascii="Times New Roman" w:hAnsi="Times New Roman" w:cs="Times New Roman"/>
          <w:sz w:val="24"/>
          <w:szCs w:val="24"/>
        </w:rPr>
        <w:t>:</w:t>
      </w:r>
    </w:p>
    <w:p w14:paraId="7E5D4A97" w14:textId="77777777" w:rsidR="00093506" w:rsidRPr="000C650E" w:rsidRDefault="00441669">
      <w:pPr>
        <w:spacing w:line="360" w:lineRule="auto"/>
        <w:jc w:val="both"/>
        <w:rPr>
          <w:rFonts w:ascii="Times New Roman" w:hAnsi="Times New Roman" w:cs="Times New Roman"/>
          <w:sz w:val="24"/>
          <w:szCs w:val="24"/>
        </w:rPr>
      </w:pPr>
      <w:r w:rsidRPr="000C650E">
        <w:rPr>
          <w:rFonts w:ascii="Times New Roman" w:hAnsi="Times New Roman" w:cs="Times New Roman"/>
          <w:b/>
          <w:sz w:val="24"/>
          <w:szCs w:val="24"/>
        </w:rPr>
        <w:t>Objetivo:</w:t>
      </w:r>
      <w:r w:rsidRPr="000C650E">
        <w:rPr>
          <w:rFonts w:ascii="Times New Roman" w:hAnsi="Times New Roman" w:cs="Times New Roman"/>
          <w:sz w:val="24"/>
          <w:szCs w:val="24"/>
        </w:rPr>
        <w:t xml:space="preserve"> Proponer un sistema de talleres que contribuya a la preparación de los especialistas del CDO, para el diagnóstico psicopedagógico de educandos con indicadores de TEA.</w:t>
      </w:r>
    </w:p>
    <w:p w14:paraId="2FD8D196"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A partir del uso del materialismo-dialéctico como enfoque metodológico principal se emplearon los siguientes métodos: </w:t>
      </w:r>
    </w:p>
    <w:p w14:paraId="2BED271C" w14:textId="77777777" w:rsidR="00093506" w:rsidRPr="000C650E" w:rsidRDefault="00441669">
      <w:pPr>
        <w:spacing w:after="0" w:line="360" w:lineRule="auto"/>
        <w:jc w:val="both"/>
        <w:rPr>
          <w:rFonts w:ascii="Times New Roman" w:hAnsi="Times New Roman" w:cs="Times New Roman"/>
          <w:b/>
          <w:sz w:val="24"/>
          <w:szCs w:val="24"/>
        </w:rPr>
      </w:pPr>
      <w:r w:rsidRPr="000C650E">
        <w:rPr>
          <w:rFonts w:ascii="Times New Roman" w:hAnsi="Times New Roman" w:cs="Times New Roman"/>
          <w:b/>
          <w:sz w:val="24"/>
          <w:szCs w:val="24"/>
        </w:rPr>
        <w:t>Métodos del nivel teórico:</w:t>
      </w:r>
    </w:p>
    <w:p w14:paraId="440218D1"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lastRenderedPageBreak/>
        <w:t>Histórico-lógico:</w:t>
      </w:r>
      <w:r w:rsidRPr="000C650E">
        <w:rPr>
          <w:rFonts w:ascii="Times New Roman" w:hAnsi="Times New Roman" w:cs="Times New Roman"/>
          <w:sz w:val="24"/>
          <w:szCs w:val="24"/>
        </w:rPr>
        <w:t xml:space="preserve"> facilitó profundizar en los antecedentes del objeto que se investiga y su evolución histórica desde diferentes posiciones teóricas para la construcción lógica de la propuesta.</w:t>
      </w:r>
    </w:p>
    <w:p w14:paraId="1F7ED3E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Analítico-sintético:</w:t>
      </w:r>
      <w:r w:rsidRPr="000C650E">
        <w:rPr>
          <w:rFonts w:ascii="Times New Roman" w:hAnsi="Times New Roman" w:cs="Times New Roman"/>
          <w:sz w:val="24"/>
          <w:szCs w:val="24"/>
        </w:rPr>
        <w:t xml:space="preserve"> permitió el estudio de la preparación que tienen los especialistas del CDO e interpretar desde lo general hasta llegar a su particularidad.</w:t>
      </w:r>
    </w:p>
    <w:p w14:paraId="5F93434A"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Inductivo-deductivo:</w:t>
      </w:r>
      <w:r w:rsidRPr="000C650E">
        <w:rPr>
          <w:rFonts w:ascii="Times New Roman" w:hAnsi="Times New Roman" w:cs="Times New Roman"/>
          <w:sz w:val="24"/>
          <w:szCs w:val="24"/>
        </w:rPr>
        <w:t xml:space="preserve"> permitió desde el análisis de lo singular llegar a valoraciones generales, analizar otras formulaciones teóricas y arribar a conclusiones lógicas de la preparación que tienen los especialistas del CDO.</w:t>
      </w:r>
    </w:p>
    <w:p w14:paraId="2F8964F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Modelación:</w:t>
      </w:r>
      <w:r w:rsidRPr="000C650E">
        <w:rPr>
          <w:rFonts w:ascii="Times New Roman" w:hAnsi="Times New Roman" w:cs="Times New Roman"/>
          <w:sz w:val="24"/>
          <w:szCs w:val="24"/>
        </w:rPr>
        <w:t xml:space="preserve"> Se utilizó en el diseño de la representación gráfica del sistema de talleres. Permitió reflejar en el nivel teórico sus fundamentos y relaciones entre la multidimensionalidad del diagnóstico y en el nivel práctico, sus objetivos, contenidos, vías y etapas para la implementación; para asumir el diagnóstico especializado de educandos con indicadores de TEA.</w:t>
      </w:r>
    </w:p>
    <w:p w14:paraId="44F26371"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Sistémico estructural:</w:t>
      </w:r>
      <w:r w:rsidRPr="000C650E">
        <w:rPr>
          <w:rFonts w:ascii="Times New Roman" w:hAnsi="Times New Roman" w:cs="Times New Roman"/>
          <w:sz w:val="24"/>
          <w:szCs w:val="24"/>
        </w:rPr>
        <w:t xml:space="preserve"> para la relación estructural que tiene que tener un sistema de talleres para la preparación de los especialistas del CDO para asumir el diagnóstico psicopedagógico de educandos con indicadores de TEA.</w:t>
      </w:r>
    </w:p>
    <w:p w14:paraId="21DDC37D" w14:textId="77777777" w:rsidR="00093506" w:rsidRPr="000C650E" w:rsidRDefault="00441669">
      <w:pPr>
        <w:spacing w:after="0" w:line="360" w:lineRule="auto"/>
        <w:jc w:val="both"/>
        <w:rPr>
          <w:rFonts w:ascii="Times New Roman" w:hAnsi="Times New Roman" w:cs="Times New Roman"/>
          <w:b/>
          <w:sz w:val="24"/>
          <w:szCs w:val="24"/>
        </w:rPr>
      </w:pPr>
      <w:r w:rsidRPr="000C650E">
        <w:rPr>
          <w:rFonts w:ascii="Times New Roman" w:hAnsi="Times New Roman" w:cs="Times New Roman"/>
          <w:b/>
          <w:sz w:val="24"/>
          <w:szCs w:val="24"/>
        </w:rPr>
        <w:t>Métodos del nivel empírico:</w:t>
      </w:r>
    </w:p>
    <w:p w14:paraId="53A1594B"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Encuesta:</w:t>
      </w:r>
      <w:r w:rsidRPr="000C650E">
        <w:rPr>
          <w:rFonts w:ascii="Times New Roman" w:hAnsi="Times New Roman" w:cs="Times New Roman"/>
          <w:sz w:val="24"/>
          <w:szCs w:val="24"/>
        </w:rPr>
        <w:t xml:space="preserve"> facilitó conocer el dominio teórico-metodológico de los especialistas del CDO acerca de los indicadores para el diagnóstico del TEA.</w:t>
      </w:r>
    </w:p>
    <w:p w14:paraId="6FEB65A4"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Entrevista:</w:t>
      </w:r>
      <w:r w:rsidRPr="000C650E">
        <w:rPr>
          <w:rFonts w:ascii="Times New Roman" w:hAnsi="Times New Roman" w:cs="Times New Roman"/>
          <w:sz w:val="24"/>
          <w:szCs w:val="24"/>
        </w:rPr>
        <w:t xml:space="preserve"> se utilizó con el fin de conocer el dominio teórico-metodológico que tienen los especialistas del CDO acerca de los indicadores para el diagnóstico del TEA.</w:t>
      </w:r>
    </w:p>
    <w:p w14:paraId="34A724C9"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Observación:</w:t>
      </w:r>
      <w:r w:rsidRPr="000C650E">
        <w:rPr>
          <w:rFonts w:ascii="Times New Roman" w:hAnsi="Times New Roman" w:cs="Times New Roman"/>
          <w:sz w:val="24"/>
          <w:szCs w:val="24"/>
        </w:rPr>
        <w:t xml:space="preserve"> se empleó durante las actividades de evaluación psicopedagógica especializada realizadas en el equipo multidisciplinario, con el objetivo en un primer, momento de constatar en la práctica cómo se realiza la evaluación (estado inicial) y en un segundo momento para ajustar la propuesta del sistema de talleres para la preparación de los especialistas del CDO para asumir el diagnóstico especializado de educandos con indicadores de TEA.</w:t>
      </w:r>
    </w:p>
    <w:p w14:paraId="0B3B158E"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Análisis de documentos:</w:t>
      </w:r>
      <w:r w:rsidRPr="000C650E">
        <w:rPr>
          <w:rFonts w:ascii="Times New Roman" w:hAnsi="Times New Roman" w:cs="Times New Roman"/>
          <w:sz w:val="24"/>
          <w:szCs w:val="24"/>
        </w:rPr>
        <w:t xml:space="preserve"> proporcionó la información necesaria del estado inicial de los expedientes psicopedagógicos de educandos con diagnóstico de TEA, así como su transformación después de implementada la propuesta.</w:t>
      </w:r>
    </w:p>
    <w:p w14:paraId="74B69697"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lastRenderedPageBreak/>
        <w:t>Triangulación:</w:t>
      </w:r>
      <w:r w:rsidRPr="000C650E">
        <w:rPr>
          <w:rFonts w:ascii="Times New Roman" w:hAnsi="Times New Roman" w:cs="Times New Roman"/>
          <w:sz w:val="24"/>
          <w:szCs w:val="24"/>
        </w:rPr>
        <w:t xml:space="preserve"> se utilizó para el procesamiento de los datos de la investigación para llegar a conclusiones respecto al estado inicial y actual de la variable, sus dimensiones e indicadores.</w:t>
      </w:r>
    </w:p>
    <w:p w14:paraId="1BBC0CED"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Sistematización de experiencias en la práctica:</w:t>
      </w:r>
      <w:r w:rsidRPr="000C650E">
        <w:rPr>
          <w:rFonts w:ascii="Times New Roman" w:hAnsi="Times New Roman" w:cs="Times New Roman"/>
          <w:sz w:val="24"/>
          <w:szCs w:val="24"/>
        </w:rPr>
        <w:t xml:space="preserve"> se utilizó con una mirada retrospectiva y prospectiva de la preparación de los especialistas del CDO para asumir el diagnóstico especializado de educandos con indicadores de TEA.</w:t>
      </w:r>
    </w:p>
    <w:p w14:paraId="1848B37F"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 xml:space="preserve">Método matemático: </w:t>
      </w:r>
    </w:p>
    <w:p w14:paraId="381AC8FB" w14:textId="77777777" w:rsidR="00093506" w:rsidRPr="000C650E" w:rsidRDefault="00441669">
      <w:pPr>
        <w:spacing w:after="0" w:line="360" w:lineRule="auto"/>
        <w:jc w:val="both"/>
        <w:rPr>
          <w:rFonts w:ascii="Times New Roman" w:hAnsi="Times New Roman" w:cs="Times New Roman"/>
          <w:bCs/>
          <w:sz w:val="24"/>
          <w:szCs w:val="24"/>
          <w:lang w:val="es-MX"/>
        </w:rPr>
      </w:pPr>
      <w:r w:rsidRPr="000C650E">
        <w:rPr>
          <w:rFonts w:ascii="Times New Roman" w:hAnsi="Times New Roman" w:cs="Times New Roman"/>
          <w:b/>
          <w:sz w:val="24"/>
          <w:szCs w:val="24"/>
        </w:rPr>
        <w:t>Análisis porcentual:</w:t>
      </w:r>
      <w:r w:rsidRPr="000C650E">
        <w:rPr>
          <w:rFonts w:ascii="Times New Roman" w:hAnsi="Times New Roman" w:cs="Times New Roman"/>
          <w:sz w:val="24"/>
          <w:szCs w:val="24"/>
        </w:rPr>
        <w:t xml:space="preserve"> </w:t>
      </w:r>
      <w:r w:rsidRPr="000C650E">
        <w:rPr>
          <w:rFonts w:ascii="Times New Roman" w:hAnsi="Times New Roman" w:cs="Times New Roman"/>
          <w:bCs/>
          <w:sz w:val="24"/>
          <w:szCs w:val="24"/>
          <w:lang w:val="es-MX"/>
        </w:rPr>
        <w:t>de utilidad en el análisis de los resultados aportados por la aplicación de los métodos empíricos, con la utilización del cálculo porcentual, la mediana y la presentación de tablas y figuras.</w:t>
      </w:r>
    </w:p>
    <w:p w14:paraId="769D27B6"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b/>
          <w:sz w:val="24"/>
          <w:szCs w:val="24"/>
        </w:rPr>
        <w:t>Grupo de estudio</w:t>
      </w:r>
      <w:r w:rsidRPr="000C650E">
        <w:rPr>
          <w:rFonts w:ascii="Times New Roman" w:hAnsi="Times New Roman" w:cs="Times New Roman"/>
          <w:sz w:val="24"/>
          <w:szCs w:val="24"/>
        </w:rPr>
        <w:t>:</w:t>
      </w:r>
    </w:p>
    <w:p w14:paraId="06096BDB"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El grupo de estudio lo constituye el equipo multidisciplinario del CDO del municipio Diez de Octubre, conformado por 12 especialistas. </w:t>
      </w:r>
      <w:r w:rsidRPr="000C650E">
        <w:rPr>
          <w:rFonts w:ascii="Times New Roman" w:hAnsi="Times New Roman" w:cs="Times New Roman"/>
          <w:sz w:val="24"/>
          <w:szCs w:val="24"/>
          <w:lang w:val="es-US"/>
        </w:rPr>
        <w:t>El promedio de permanencia en la labor que realizan es de 8 años, además;</w:t>
      </w:r>
      <w:r w:rsidRPr="000C650E">
        <w:rPr>
          <w:rFonts w:ascii="Times New Roman" w:hAnsi="Times New Roman" w:cs="Times New Roman"/>
          <w:sz w:val="24"/>
          <w:szCs w:val="24"/>
        </w:rPr>
        <w:t xml:space="preserve"> </w:t>
      </w:r>
    </w:p>
    <w:p w14:paraId="327B520D"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lang w:val="es-US"/>
        </w:rPr>
        <w:t xml:space="preserve">-5 (41.6 %), de los especialistas son licenciados en Psicología, desempeñando las especialidades de psicología (2), psicometría (2) y psicopedagogía (1). </w:t>
      </w:r>
    </w:p>
    <w:p w14:paraId="40079DFB"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lang w:val="es-US"/>
        </w:rPr>
        <w:t>-2 (16.6 %), de los especialistas son graduados de la especialidad de Logopedia y se desempeñan como tales.</w:t>
      </w:r>
    </w:p>
    <w:p w14:paraId="7F44772D"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lang w:val="es-US"/>
        </w:rPr>
        <w:t>-4 (33.3 %), de los especialistas son licenciados en Educación Primaria y asumen 2 la especialidad de pedagogía, 1 la especialidad de psicopedagogía y 1 la especialidad de trabajo social.</w:t>
      </w:r>
    </w:p>
    <w:p w14:paraId="009D071E"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lang w:val="es-US"/>
        </w:rPr>
        <w:t>-1 (8.3 %), especialista es licenciada en Educación Preescolar, desempeñando la labor de trabajo social.</w:t>
      </w:r>
    </w:p>
    <w:p w14:paraId="2326B07D"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lang w:val="es-US"/>
        </w:rPr>
        <w:t xml:space="preserve">-de los 12 especialistas, 4 (33.3 %), ostenta la categoría académica de Máster en Ciencias. </w:t>
      </w:r>
    </w:p>
    <w:p w14:paraId="1C60038F" w14:textId="2BFFBA23"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lang w:val="es-US"/>
        </w:rPr>
        <w:t>Desde un punto de vista general, interesa en esta instancia considerar como función principal del sistema de talleres l</w:t>
      </w:r>
      <w:r w:rsidRPr="000C650E">
        <w:rPr>
          <w:rFonts w:ascii="Times New Roman" w:hAnsi="Times New Roman" w:cs="Times New Roman"/>
          <w:sz w:val="24"/>
          <w:szCs w:val="24"/>
        </w:rPr>
        <w:t xml:space="preserve">a transformación </w:t>
      </w:r>
      <w:r w:rsidR="00D027A7" w:rsidRPr="000C650E">
        <w:rPr>
          <w:rFonts w:ascii="Times New Roman" w:hAnsi="Times New Roman" w:cs="Times New Roman"/>
          <w:sz w:val="24"/>
          <w:szCs w:val="24"/>
        </w:rPr>
        <w:t>de la</w:t>
      </w:r>
      <w:r w:rsidRPr="000C650E">
        <w:rPr>
          <w:rFonts w:ascii="Times New Roman" w:hAnsi="Times New Roman" w:cs="Times New Roman"/>
          <w:sz w:val="24"/>
          <w:szCs w:val="24"/>
        </w:rPr>
        <w:t xml:space="preserve"> preparación de los especialistas del CDO desde la dimensión cognitiva, procedimental y actitudinal para asumir el diagnóstico especializado de los educandos con TEA.</w:t>
      </w:r>
    </w:p>
    <w:p w14:paraId="2A7547C0" w14:textId="77777777" w:rsidR="00093506" w:rsidRPr="000C650E" w:rsidRDefault="00441669">
      <w:pPr>
        <w:spacing w:after="0" w:line="360" w:lineRule="auto"/>
        <w:jc w:val="both"/>
        <w:rPr>
          <w:rFonts w:ascii="Times New Roman" w:hAnsi="Times New Roman" w:cs="Times New Roman"/>
          <w:b/>
          <w:sz w:val="24"/>
          <w:szCs w:val="24"/>
        </w:rPr>
      </w:pPr>
      <w:r w:rsidRPr="000C650E">
        <w:rPr>
          <w:rFonts w:ascii="Times New Roman" w:hAnsi="Times New Roman" w:cs="Times New Roman"/>
          <w:b/>
          <w:sz w:val="24"/>
          <w:szCs w:val="24"/>
        </w:rPr>
        <w:t>Funciones para la transformación de la dimensión cognitiva:</w:t>
      </w:r>
    </w:p>
    <w:p w14:paraId="704E54D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-Ampliar los conocimientos acerca de las particularidades psicopedagógicas de los educandos con TEA y el sistema instrumental empleado para la evaluación especializada.</w:t>
      </w:r>
    </w:p>
    <w:p w14:paraId="0818EA1A"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lastRenderedPageBreak/>
        <w:t>-Establecer los elementos del proceso para la identificación oportuna de los educandos con TEA y como proceder en las diferentes modalidades de atención en función del diagnóstico especializado.</w:t>
      </w:r>
    </w:p>
    <w:p w14:paraId="3ED98F3C" w14:textId="77777777" w:rsidR="00093506" w:rsidRPr="000C650E" w:rsidRDefault="00441669">
      <w:pPr>
        <w:spacing w:after="0" w:line="360" w:lineRule="auto"/>
        <w:jc w:val="both"/>
        <w:rPr>
          <w:rFonts w:ascii="Times New Roman" w:hAnsi="Times New Roman" w:cs="Times New Roman"/>
          <w:b/>
          <w:sz w:val="24"/>
          <w:szCs w:val="24"/>
        </w:rPr>
      </w:pPr>
      <w:r w:rsidRPr="000C650E">
        <w:rPr>
          <w:rFonts w:ascii="Times New Roman" w:hAnsi="Times New Roman" w:cs="Times New Roman"/>
          <w:b/>
          <w:sz w:val="24"/>
          <w:szCs w:val="24"/>
        </w:rPr>
        <w:t>Funciones para la transformación de la dimensión procedimental:</w:t>
      </w:r>
    </w:p>
    <w:p w14:paraId="3B58B595"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-Ofrecer apoyo metodológico para la selección adecuada del sistema instrumental.</w:t>
      </w:r>
    </w:p>
    <w:p w14:paraId="553AE53A"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-Potenciar las habilidades para el registro de la información que aporta la aplicación del sistema instrumental.</w:t>
      </w:r>
    </w:p>
    <w:p w14:paraId="4F78C294"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-Potenciar las habilidades para la discusión de caso y la toma de decisiones.</w:t>
      </w:r>
    </w:p>
    <w:p w14:paraId="66CD7FCE" w14:textId="77777777" w:rsidR="00093506" w:rsidRPr="000C650E" w:rsidRDefault="00441669">
      <w:pPr>
        <w:spacing w:after="0" w:line="360" w:lineRule="auto"/>
        <w:jc w:val="both"/>
        <w:rPr>
          <w:rFonts w:ascii="Times New Roman" w:hAnsi="Times New Roman" w:cs="Times New Roman"/>
          <w:b/>
          <w:sz w:val="24"/>
          <w:szCs w:val="24"/>
        </w:rPr>
      </w:pPr>
      <w:r w:rsidRPr="000C650E">
        <w:rPr>
          <w:rFonts w:ascii="Times New Roman" w:hAnsi="Times New Roman" w:cs="Times New Roman"/>
          <w:b/>
          <w:sz w:val="24"/>
          <w:szCs w:val="24"/>
        </w:rPr>
        <w:t>Funciones para la transformación de la dimensión actitudinal:</w:t>
      </w:r>
    </w:p>
    <w:p w14:paraId="74ACEC15"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-Transformar la visión de los especialistas en lo relativo a la presencia de potencialidades y fortalezas, como indicadores de la diversidad humana. </w:t>
      </w:r>
    </w:p>
    <w:p w14:paraId="28E9D133" w14:textId="77777777" w:rsidR="00093506" w:rsidRPr="000C650E" w:rsidRDefault="00441669">
      <w:pPr>
        <w:spacing w:after="0" w:line="360" w:lineRule="auto"/>
        <w:jc w:val="both"/>
        <w:rPr>
          <w:rFonts w:ascii="Times New Roman" w:hAnsi="Times New Roman" w:cs="Times New Roman"/>
          <w:b/>
          <w:sz w:val="24"/>
          <w:szCs w:val="24"/>
        </w:rPr>
      </w:pPr>
      <w:r w:rsidRPr="000C650E">
        <w:rPr>
          <w:rFonts w:ascii="Times New Roman" w:hAnsi="Times New Roman" w:cs="Times New Roman"/>
          <w:b/>
          <w:sz w:val="24"/>
          <w:szCs w:val="24"/>
        </w:rPr>
        <w:t>Estructura del sistema de talleres</w:t>
      </w:r>
    </w:p>
    <w:p w14:paraId="2D0B56D6"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lang w:val="es-US"/>
        </w:rPr>
        <w:t>1.Se definen objetivos específicos a lograr en cada taller, los cuales permitirán transformar el objeto de estudio del estado real al estado deseado.</w:t>
      </w:r>
    </w:p>
    <w:p w14:paraId="270F2A4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El sistema lo componen 10 talleres creados por el autor, donde todos sus componentes están relacionados, estos tienen la siguiente estructura: título, objetivo, tiempo de duración, materiales a utilizar, preparación inicial, técnica de inicio, desarrollo y cierre.                            </w:t>
      </w:r>
    </w:p>
    <w:p w14:paraId="0BD4E9A4"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rPr>
        <w:t>2</w:t>
      </w:r>
      <w:r w:rsidRPr="000C650E">
        <w:rPr>
          <w:rFonts w:ascii="Times New Roman" w:hAnsi="Times New Roman" w:cs="Times New Roman"/>
          <w:sz w:val="24"/>
          <w:szCs w:val="24"/>
          <w:lang w:val="es-US"/>
        </w:rPr>
        <w:t>. Se estructura un manual de apoyo que ofrece elementos teóricos y metodológicos para asumir el diagnóstico especializado de los educandos con indicadores de TEA. Este manual se utiliza durante el desarrollo de los talleres y se mantiene como material de consulta durante el proceso.</w:t>
      </w:r>
    </w:p>
    <w:p w14:paraId="0213ECE2"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Los métodos se conciben a partir del modelo educativo centrado en el proceso y están dirigidos a promover la cultura colaborativa y del diálogo a partir del intercambio de sus propias prácticas, las inquietudes profesionales, las vivencias, saberes, intereses y experiencias desde la reflexión tanto individual como grupal, a fin de establecer generalizaciones basadas en la práctica. </w:t>
      </w:r>
    </w:p>
    <w:p w14:paraId="51734556"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noProof/>
          <w:lang w:eastAsia="es-ES"/>
        </w:rPr>
        <w:lastRenderedPageBreak/>
        <w:drawing>
          <wp:inline distT="0" distB="0" distL="0" distR="0" wp14:anchorId="0A8ABD38" wp14:editId="0789C638">
            <wp:extent cx="6003925" cy="2808605"/>
            <wp:effectExtent l="0" t="0" r="15875" b="107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003925" cy="2808605"/>
                    </a:xfrm>
                    <a:prstGeom prst="rect">
                      <a:avLst/>
                    </a:prstGeom>
                    <a:noFill/>
                  </pic:spPr>
                </pic:pic>
              </a:graphicData>
            </a:graphic>
          </wp:inline>
        </w:drawing>
      </w:r>
    </w:p>
    <w:p w14:paraId="4E37C6AA" w14:textId="77777777" w:rsidR="00093506" w:rsidRPr="000C650E" w:rsidRDefault="00441669">
      <w:pPr>
        <w:jc w:val="both"/>
        <w:rPr>
          <w:rFonts w:ascii="Times New Roman" w:hAnsi="Times New Roman" w:cs="Times New Roman"/>
          <w:sz w:val="24"/>
          <w:szCs w:val="24"/>
          <w:lang w:val="es-US"/>
        </w:rPr>
      </w:pPr>
      <w:r w:rsidRPr="000C650E">
        <w:rPr>
          <w:rFonts w:ascii="Times New Roman" w:hAnsi="Times New Roman" w:cs="Times New Roman"/>
          <w:b/>
          <w:sz w:val="24"/>
          <w:szCs w:val="24"/>
          <w:lang w:val="es-US"/>
        </w:rPr>
        <w:t>Gráfico 1:</w:t>
      </w:r>
      <w:r w:rsidRPr="000C650E">
        <w:rPr>
          <w:rFonts w:ascii="Times New Roman" w:hAnsi="Times New Roman" w:cs="Times New Roman"/>
          <w:sz w:val="24"/>
          <w:szCs w:val="24"/>
          <w:lang w:val="es-US"/>
        </w:rPr>
        <w:t xml:space="preserve"> Representación del sistema de talleres para la preparación de los especialistas del CDO asumir el diagnóstico especializado de educandos con indicadores de TEA.</w:t>
      </w:r>
    </w:p>
    <w:p w14:paraId="4CCD511B"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Después de la aplicación del sistema de talleres dirigido a la preparación de los especialistas del CDO para la evaluación especializada de educandos con indicadores de TEA, se aplicó nuevamente la encuesta de inicio para valorar los resultados alcanzados, triangulando la información con los resultados del registro de las observaciones realizadas durante el período en el que se desarrolló la investigación.</w:t>
      </w:r>
    </w:p>
    <w:p w14:paraId="7BAD617B"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lang w:val="es-US"/>
        </w:rPr>
        <w:t xml:space="preserve">Todos los indicadores elevaron su por ciento de efectividad, al dotar a los especialistas de conocimientos sobre las características psicopedagógicas, las áreas del desarrollo a evaluar y el sistema instrumental a emplear en un caso con indicadores de un TEA, la transformación de los resultados en los indicadores se muestra en el siguiente gráfico. </w:t>
      </w:r>
    </w:p>
    <w:p w14:paraId="4581A25F" w14:textId="77777777" w:rsidR="00093506" w:rsidRPr="000C650E" w:rsidRDefault="00093506">
      <w:pPr>
        <w:spacing w:after="0" w:line="360" w:lineRule="auto"/>
        <w:jc w:val="both"/>
        <w:rPr>
          <w:rFonts w:ascii="Times New Roman" w:hAnsi="Times New Roman" w:cs="Times New Roman"/>
          <w:sz w:val="24"/>
          <w:szCs w:val="24"/>
          <w:lang w:val="es-US"/>
        </w:rPr>
      </w:pPr>
    </w:p>
    <w:p w14:paraId="193EE590" w14:textId="77777777" w:rsidR="00093506" w:rsidRPr="000C650E" w:rsidRDefault="00441669">
      <w:pPr>
        <w:widowControl w:val="0"/>
        <w:spacing w:line="360" w:lineRule="auto"/>
        <w:jc w:val="both"/>
        <w:rPr>
          <w:rFonts w:ascii="Times New Roman" w:eastAsia="Calibri" w:hAnsi="Times New Roman" w:cs="Times New Roman"/>
          <w:b/>
          <w:sz w:val="24"/>
          <w:szCs w:val="24"/>
          <w:lang w:val="es-MX"/>
        </w:rPr>
      </w:pPr>
      <w:r w:rsidRPr="000C650E">
        <w:rPr>
          <w:rFonts w:ascii="Times New Roman" w:eastAsia="Calibri" w:hAnsi="Times New Roman" w:cs="Times New Roman"/>
          <w:noProof/>
          <w:sz w:val="20"/>
          <w:szCs w:val="20"/>
          <w:lang w:eastAsia="es-ES"/>
        </w:rPr>
        <w:lastRenderedPageBreak/>
        <w:drawing>
          <wp:inline distT="0" distB="0" distL="0" distR="0" wp14:anchorId="4B8600A6" wp14:editId="6ED3C3E2">
            <wp:extent cx="5857875" cy="1873250"/>
            <wp:effectExtent l="0" t="0" r="9525" b="127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57875" cy="1873250"/>
                    </a:xfrm>
                    <a:prstGeom prst="rect">
                      <a:avLst/>
                    </a:prstGeom>
                    <a:noFill/>
                  </pic:spPr>
                </pic:pic>
              </a:graphicData>
            </a:graphic>
          </wp:inline>
        </w:drawing>
      </w:r>
    </w:p>
    <w:p w14:paraId="1CF990FE" w14:textId="77777777" w:rsidR="00093506" w:rsidRPr="000C650E" w:rsidRDefault="00441669">
      <w:pPr>
        <w:spacing w:after="0" w:line="360" w:lineRule="auto"/>
        <w:rPr>
          <w:rFonts w:ascii="Times New Roman" w:hAnsi="Times New Roman" w:cs="Times New Roman"/>
          <w:sz w:val="24"/>
          <w:szCs w:val="24"/>
          <w:lang w:val="es-US"/>
        </w:rPr>
      </w:pPr>
      <w:r w:rsidRPr="000C650E">
        <w:rPr>
          <w:rFonts w:ascii="Times New Roman" w:hAnsi="Times New Roman" w:cs="Times New Roman"/>
          <w:b/>
          <w:sz w:val="24"/>
          <w:szCs w:val="24"/>
          <w:lang w:val="es-US"/>
        </w:rPr>
        <w:t>Gráfico 2:</w:t>
      </w:r>
      <w:r w:rsidRPr="000C650E">
        <w:rPr>
          <w:rFonts w:ascii="Times New Roman" w:hAnsi="Times New Roman" w:cs="Times New Roman"/>
          <w:sz w:val="24"/>
          <w:szCs w:val="24"/>
          <w:lang w:val="es-US"/>
        </w:rPr>
        <w:t xml:space="preserve"> Resultados de la transformación de los indicadores en la dimensión cognitiva</w:t>
      </w:r>
    </w:p>
    <w:p w14:paraId="2D3C2549" w14:textId="77777777" w:rsidR="00093506" w:rsidRPr="000C650E" w:rsidRDefault="00441669">
      <w:pPr>
        <w:widowControl w:val="0"/>
        <w:spacing w:line="360" w:lineRule="auto"/>
        <w:jc w:val="both"/>
        <w:rPr>
          <w:rFonts w:ascii="Times New Roman" w:eastAsia="Calibri" w:hAnsi="Times New Roman" w:cs="Times New Roman"/>
          <w:b/>
          <w:sz w:val="24"/>
          <w:szCs w:val="24"/>
          <w:lang w:val="es-MX"/>
        </w:rPr>
      </w:pPr>
      <w:r w:rsidRPr="000C650E">
        <w:rPr>
          <w:rFonts w:ascii="Times New Roman" w:hAnsi="Times New Roman" w:cs="Times New Roman"/>
          <w:noProof/>
          <w:lang w:eastAsia="es-ES"/>
        </w:rPr>
        <w:drawing>
          <wp:inline distT="0" distB="0" distL="0" distR="0" wp14:anchorId="4D0E9E4D" wp14:editId="44DBCAB6">
            <wp:extent cx="5906770" cy="2391410"/>
            <wp:effectExtent l="0" t="0" r="1778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06770" cy="2391410"/>
                    </a:xfrm>
                    <a:prstGeom prst="rect">
                      <a:avLst/>
                    </a:prstGeom>
                    <a:noFill/>
                  </pic:spPr>
                </pic:pic>
              </a:graphicData>
            </a:graphic>
          </wp:inline>
        </w:drawing>
      </w:r>
    </w:p>
    <w:p w14:paraId="776F2028" w14:textId="77777777" w:rsidR="00093506" w:rsidRPr="000C650E" w:rsidRDefault="00441669">
      <w:pPr>
        <w:spacing w:line="360" w:lineRule="auto"/>
        <w:rPr>
          <w:rFonts w:ascii="Times New Roman" w:hAnsi="Times New Roman" w:cs="Times New Roman"/>
          <w:sz w:val="24"/>
          <w:szCs w:val="24"/>
          <w:lang w:val="es-US"/>
        </w:rPr>
      </w:pPr>
      <w:r w:rsidRPr="000C650E">
        <w:rPr>
          <w:rFonts w:ascii="Times New Roman" w:hAnsi="Times New Roman" w:cs="Times New Roman"/>
          <w:b/>
          <w:sz w:val="24"/>
          <w:szCs w:val="24"/>
          <w:lang w:val="es-US"/>
        </w:rPr>
        <w:t>Gráfico 3:</w:t>
      </w:r>
      <w:r w:rsidRPr="000C650E">
        <w:rPr>
          <w:rFonts w:ascii="Times New Roman" w:hAnsi="Times New Roman" w:cs="Times New Roman"/>
          <w:sz w:val="24"/>
          <w:szCs w:val="24"/>
          <w:lang w:val="es-US"/>
        </w:rPr>
        <w:t xml:space="preserve"> Resultados de la transformación de los indicadores en la dimensión procedimental.</w:t>
      </w:r>
    </w:p>
    <w:p w14:paraId="7D319909" w14:textId="77777777" w:rsidR="00093506" w:rsidRPr="000C650E" w:rsidRDefault="00441669">
      <w:pPr>
        <w:widowControl w:val="0"/>
        <w:spacing w:line="360" w:lineRule="auto"/>
        <w:jc w:val="both"/>
        <w:rPr>
          <w:rFonts w:ascii="Times New Roman" w:eastAsia="Calibri" w:hAnsi="Times New Roman" w:cs="Times New Roman"/>
          <w:b/>
          <w:sz w:val="24"/>
          <w:szCs w:val="24"/>
          <w:lang w:val="es-MX"/>
        </w:rPr>
      </w:pPr>
      <w:r w:rsidRPr="000C650E">
        <w:rPr>
          <w:rFonts w:ascii="Times New Roman" w:hAnsi="Times New Roman" w:cs="Times New Roman"/>
          <w:noProof/>
          <w:lang w:eastAsia="es-ES"/>
        </w:rPr>
        <w:lastRenderedPageBreak/>
        <w:drawing>
          <wp:inline distT="0" distB="0" distL="0" distR="0" wp14:anchorId="3EFC80AF" wp14:editId="77E187DF">
            <wp:extent cx="5747385" cy="2174240"/>
            <wp:effectExtent l="0" t="0" r="5715" b="165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47385" cy="2174240"/>
                    </a:xfrm>
                    <a:prstGeom prst="rect">
                      <a:avLst/>
                    </a:prstGeom>
                    <a:noFill/>
                  </pic:spPr>
                </pic:pic>
              </a:graphicData>
            </a:graphic>
          </wp:inline>
        </w:drawing>
      </w:r>
    </w:p>
    <w:p w14:paraId="72C8EDDF" w14:textId="77777777" w:rsidR="00093506" w:rsidRPr="000C650E" w:rsidRDefault="00441669">
      <w:pPr>
        <w:spacing w:line="360" w:lineRule="auto"/>
        <w:rPr>
          <w:rFonts w:ascii="Times New Roman" w:hAnsi="Times New Roman" w:cs="Times New Roman"/>
          <w:sz w:val="24"/>
          <w:szCs w:val="24"/>
          <w:lang w:val="es-US"/>
        </w:rPr>
      </w:pPr>
      <w:r w:rsidRPr="000C650E">
        <w:rPr>
          <w:rFonts w:ascii="Times New Roman" w:hAnsi="Times New Roman" w:cs="Times New Roman"/>
          <w:b/>
          <w:sz w:val="24"/>
          <w:szCs w:val="24"/>
          <w:lang w:val="es-US"/>
        </w:rPr>
        <w:t>Gráfico 4:</w:t>
      </w:r>
      <w:r w:rsidRPr="000C650E">
        <w:rPr>
          <w:rFonts w:ascii="Times New Roman" w:hAnsi="Times New Roman" w:cs="Times New Roman"/>
          <w:sz w:val="24"/>
          <w:szCs w:val="24"/>
          <w:lang w:val="es-US"/>
        </w:rPr>
        <w:t xml:space="preserve"> Resultados de la transformación de los indicadores en la dimensión actitudinal.</w:t>
      </w:r>
    </w:p>
    <w:p w14:paraId="215A6ABE" w14:textId="77777777" w:rsidR="00093506" w:rsidRPr="000C650E" w:rsidRDefault="00441669">
      <w:pPr>
        <w:widowControl w:val="0"/>
        <w:spacing w:line="360" w:lineRule="auto"/>
        <w:jc w:val="center"/>
        <w:rPr>
          <w:rFonts w:ascii="Times New Roman" w:eastAsia="Calibri" w:hAnsi="Times New Roman" w:cs="Times New Roman"/>
          <w:b/>
          <w:sz w:val="24"/>
          <w:lang w:val="es-MX"/>
        </w:rPr>
      </w:pPr>
      <w:r w:rsidRPr="000C650E">
        <w:rPr>
          <w:rFonts w:ascii="Times New Roman" w:eastAsia="Calibri" w:hAnsi="Times New Roman" w:cs="Times New Roman"/>
          <w:b/>
          <w:sz w:val="24"/>
          <w:lang w:val="es-MX"/>
        </w:rPr>
        <w:t>CONCLUSIONES</w:t>
      </w:r>
    </w:p>
    <w:p w14:paraId="24BDAFB3"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-Los fundamentos teóricos y metodológicos que sustentan la preparación de los especialistas del CDO, para asumir el diagnóstico especializado de educandos con indicadores de un TEA, se toman desde los referentes nacionales e internacionales. De ahí que se asumen las dimensiones conceptuales, procedimentales y actitudinales como unidades de análisis de este objeto de estudio.</w:t>
      </w:r>
    </w:p>
    <w:p w14:paraId="1C0A341B" w14:textId="77777777" w:rsidR="00093506" w:rsidRPr="000C650E" w:rsidRDefault="00441669">
      <w:pPr>
        <w:spacing w:after="0" w:line="360" w:lineRule="auto"/>
        <w:jc w:val="both"/>
        <w:rPr>
          <w:rFonts w:ascii="Times New Roman" w:hAnsi="Times New Roman" w:cs="Times New Roman"/>
          <w:sz w:val="24"/>
          <w:szCs w:val="24"/>
          <w:lang w:val="es-US"/>
        </w:rPr>
      </w:pPr>
      <w:r w:rsidRPr="000C650E">
        <w:rPr>
          <w:rFonts w:ascii="Times New Roman" w:hAnsi="Times New Roman" w:cs="Times New Roman"/>
          <w:sz w:val="24"/>
          <w:szCs w:val="24"/>
        </w:rPr>
        <w:t xml:space="preserve">-La situación inicial de la preparación de los especialistas del CDO para el diagnóstico especializado de educandos con indicadores de un TEA, presenta debilidades por el </w:t>
      </w:r>
      <w:r w:rsidRPr="000C650E">
        <w:rPr>
          <w:rFonts w:ascii="Times New Roman" w:hAnsi="Times New Roman" w:cs="Times New Roman"/>
          <w:sz w:val="24"/>
          <w:szCs w:val="24"/>
          <w:lang w:val="es-US"/>
        </w:rPr>
        <w:t xml:space="preserve">pobre dominio sobre la definición del mismo, las áreas del desarrollo a evaluar y el desconocimiento sobre los métodos e instrumentos más utilizados para este diagnóstico, así como, la </w:t>
      </w:r>
      <w:r w:rsidRPr="000C650E">
        <w:rPr>
          <w:rFonts w:ascii="Times New Roman" w:hAnsi="Times New Roman" w:cs="Times New Roman"/>
          <w:sz w:val="24"/>
          <w:szCs w:val="24"/>
        </w:rPr>
        <w:t>habilidad para la aplicación e interpretación del sistema instrumental y la elaboración de informes de la especialidad y diagnósticos.</w:t>
      </w:r>
    </w:p>
    <w:p w14:paraId="4E7DADA0"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-Los talleres propuestos se conciben como una opción viable en correspondencia con las necesidades y potencialidades de los especialistas, dirigido a elevar su preparación teórica-metodológica sobre el proceso de diagnóstico especializado de educandos con indicadores de un TEA.</w:t>
      </w:r>
    </w:p>
    <w:p w14:paraId="467AA758" w14:textId="77777777" w:rsidR="00093506" w:rsidRPr="000C650E" w:rsidRDefault="00441669">
      <w:pPr>
        <w:spacing w:after="0" w:line="360" w:lineRule="auto"/>
        <w:jc w:val="both"/>
        <w:rPr>
          <w:rFonts w:ascii="Times New Roman" w:hAnsi="Times New Roman" w:cs="Times New Roman"/>
          <w:sz w:val="24"/>
          <w:szCs w:val="24"/>
        </w:rPr>
      </w:pPr>
      <w:r w:rsidRPr="000C650E">
        <w:rPr>
          <w:rFonts w:ascii="Times New Roman" w:hAnsi="Times New Roman" w:cs="Times New Roman"/>
          <w:sz w:val="24"/>
          <w:szCs w:val="24"/>
        </w:rPr>
        <w:t xml:space="preserve">-La propuesta de talleres ha sido implementada como parte del sistema de trabajo metodológico del CDO y permitió a los especialistas ampliar sus habilidades en el saber, saber hacer y deber ser, durante el </w:t>
      </w:r>
      <w:r w:rsidRPr="000C650E">
        <w:rPr>
          <w:rFonts w:ascii="Times New Roman" w:hAnsi="Times New Roman" w:cs="Times New Roman"/>
          <w:sz w:val="24"/>
          <w:szCs w:val="24"/>
        </w:rPr>
        <w:lastRenderedPageBreak/>
        <w:t>proceso de diagnóstico especializado de educandos con indicadores de un TEA, se revela su factibilidad en la transformación favorable de los indicadores y dimensiones que conforman el objeto de estudio.</w:t>
      </w:r>
    </w:p>
    <w:p w14:paraId="768179A4" w14:textId="77777777" w:rsidR="000C650E" w:rsidRDefault="000C650E">
      <w:pPr>
        <w:widowControl w:val="0"/>
        <w:spacing w:line="360" w:lineRule="auto"/>
        <w:jc w:val="center"/>
        <w:rPr>
          <w:rFonts w:ascii="Times New Roman" w:eastAsia="Calibri" w:hAnsi="Times New Roman" w:cs="Times New Roman"/>
          <w:b/>
          <w:sz w:val="28"/>
          <w:szCs w:val="24"/>
          <w:lang w:val="es-MX"/>
        </w:rPr>
      </w:pPr>
    </w:p>
    <w:p w14:paraId="6A72BB19" w14:textId="77777777" w:rsidR="00093506" w:rsidRPr="000C650E" w:rsidRDefault="00441669">
      <w:pPr>
        <w:widowControl w:val="0"/>
        <w:spacing w:line="360" w:lineRule="auto"/>
        <w:jc w:val="center"/>
        <w:rPr>
          <w:rFonts w:ascii="Times New Roman" w:eastAsia="Calibri" w:hAnsi="Times New Roman" w:cs="Times New Roman"/>
          <w:b/>
          <w:sz w:val="28"/>
          <w:szCs w:val="24"/>
          <w:lang w:val="es-MX"/>
        </w:rPr>
      </w:pPr>
      <w:r w:rsidRPr="000C650E">
        <w:rPr>
          <w:rFonts w:ascii="Times New Roman" w:eastAsia="Calibri" w:hAnsi="Times New Roman" w:cs="Times New Roman"/>
          <w:b/>
          <w:sz w:val="28"/>
          <w:szCs w:val="24"/>
          <w:lang w:val="es-MX"/>
        </w:rPr>
        <w:t>REFERENCIAS BIBLIOGRÁFICAS</w:t>
      </w:r>
    </w:p>
    <w:p w14:paraId="06CBD469" w14:textId="77777777" w:rsidR="0063565A" w:rsidRPr="000C650E" w:rsidRDefault="0063565A" w:rsidP="000C650E">
      <w:pPr>
        <w:spacing w:after="200" w:line="360" w:lineRule="auto"/>
        <w:ind w:left="720" w:hanging="720"/>
        <w:jc w:val="both"/>
        <w:rPr>
          <w:rFonts w:ascii="Times New Roman" w:eastAsia="Calibri" w:hAnsi="Times New Roman" w:cs="Times New Roman"/>
          <w:sz w:val="24"/>
          <w:szCs w:val="24"/>
        </w:rPr>
      </w:pPr>
      <w:r w:rsidRPr="000C650E">
        <w:rPr>
          <w:rFonts w:ascii="Times New Roman" w:eastAsia="Calibri" w:hAnsi="Times New Roman" w:cs="Times New Roman"/>
          <w:sz w:val="24"/>
          <w:szCs w:val="24"/>
        </w:rPr>
        <w:t xml:space="preserve">Álvarez de Zayas, C. (1998). </w:t>
      </w:r>
      <w:r w:rsidRPr="000C650E">
        <w:rPr>
          <w:rFonts w:ascii="Times New Roman" w:eastAsia="Calibri" w:hAnsi="Times New Roman" w:cs="Times New Roman"/>
          <w:i/>
          <w:sz w:val="24"/>
          <w:szCs w:val="24"/>
        </w:rPr>
        <w:t>Epistemología de la Pedagogía</w:t>
      </w:r>
      <w:r w:rsidRPr="000C650E">
        <w:rPr>
          <w:rFonts w:ascii="Times New Roman" w:eastAsia="Calibri" w:hAnsi="Times New Roman" w:cs="Times New Roman"/>
          <w:sz w:val="24"/>
          <w:szCs w:val="24"/>
        </w:rPr>
        <w:t xml:space="preserve">. Editorial Academia. </w:t>
      </w:r>
    </w:p>
    <w:p w14:paraId="54A084C7" w14:textId="77777777" w:rsidR="0063565A" w:rsidRPr="000C650E" w:rsidRDefault="0063565A" w:rsidP="000C650E">
      <w:pPr>
        <w:spacing w:after="200" w:line="360" w:lineRule="auto"/>
        <w:ind w:left="360" w:hanging="360"/>
        <w:jc w:val="both"/>
        <w:rPr>
          <w:rFonts w:ascii="Times New Roman" w:eastAsia="Calibri" w:hAnsi="Times New Roman" w:cs="Times New Roman"/>
          <w:sz w:val="24"/>
          <w:szCs w:val="24"/>
        </w:rPr>
      </w:pPr>
      <w:r w:rsidRPr="000C650E">
        <w:rPr>
          <w:rFonts w:ascii="Times New Roman" w:eastAsia="Calibri" w:hAnsi="Times New Roman" w:cs="Times New Roman"/>
          <w:sz w:val="24"/>
          <w:szCs w:val="24"/>
        </w:rPr>
        <w:t>Arias, G.: Evaluación y diagnóstico en la educación y el desarrollo desde el enfoque histórico-cultural, Dados do Editor, Sao Paulo, 2001.</w:t>
      </w:r>
    </w:p>
    <w:p w14:paraId="2D12AED2" w14:textId="13222060" w:rsidR="0063565A" w:rsidRPr="000C650E" w:rsidRDefault="00407490" w:rsidP="000C650E">
      <w:pPr>
        <w:spacing w:after="200" w:line="360" w:lineRule="auto"/>
        <w:ind w:left="360" w:hanging="3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Demósthene</w:t>
      </w:r>
      <w:proofErr w:type="spellEnd"/>
      <w:r>
        <w:rPr>
          <w:rFonts w:ascii="Times New Roman" w:eastAsia="Calibri" w:hAnsi="Times New Roman" w:cs="Times New Roman"/>
          <w:sz w:val="24"/>
          <w:szCs w:val="24"/>
        </w:rPr>
        <w:t>, Y.</w:t>
      </w:r>
      <w:r w:rsidR="0063565A" w:rsidRPr="000C650E">
        <w:rPr>
          <w:rFonts w:ascii="Times New Roman" w:eastAsia="Calibri" w:hAnsi="Times New Roman" w:cs="Times New Roman"/>
          <w:sz w:val="24"/>
          <w:szCs w:val="24"/>
        </w:rPr>
        <w:t xml:space="preserve"> “Alternativa para el desarrollo de la conducta social”. Tesis de Maestría en Educación Especial, CELAEE, La Habana, 2003.</w:t>
      </w:r>
    </w:p>
    <w:p w14:paraId="40C970AD" w14:textId="77777777" w:rsidR="0063565A" w:rsidRPr="00FD24E2" w:rsidRDefault="0063565A" w:rsidP="000C650E">
      <w:pPr>
        <w:spacing w:after="200" w:line="360" w:lineRule="auto"/>
        <w:ind w:left="360" w:hanging="360"/>
        <w:jc w:val="both"/>
        <w:rPr>
          <w:rFonts w:ascii="Times New Roman" w:eastAsia="Calibri" w:hAnsi="Times New Roman" w:cs="Times New Roman"/>
          <w:sz w:val="24"/>
          <w:szCs w:val="24"/>
        </w:rPr>
      </w:pPr>
      <w:r w:rsidRPr="000C650E">
        <w:rPr>
          <w:rFonts w:ascii="Times New Roman" w:eastAsia="Calibri" w:hAnsi="Times New Roman" w:cs="Times New Roman"/>
          <w:bCs/>
          <w:sz w:val="24"/>
          <w:szCs w:val="24"/>
        </w:rPr>
        <w:t>Escalona, E. (2010)</w:t>
      </w:r>
      <w:r w:rsidRPr="000C650E">
        <w:rPr>
          <w:rFonts w:ascii="Times New Roman" w:eastAsia="Calibri" w:hAnsi="Times New Roman" w:cs="Times New Roman"/>
          <w:sz w:val="24"/>
          <w:szCs w:val="24"/>
        </w:rPr>
        <w:t xml:space="preserve">. Sistema de evaluación psicopedagógica para los niños con autismo. </w:t>
      </w:r>
      <w:r w:rsidRPr="00FD24E2">
        <w:rPr>
          <w:rFonts w:ascii="Times New Roman" w:eastAsia="Calibri" w:hAnsi="Times New Roman" w:cs="Times New Roman"/>
          <w:sz w:val="24"/>
          <w:szCs w:val="24"/>
        </w:rPr>
        <w:t>[Archivo PDF].</w:t>
      </w:r>
    </w:p>
    <w:p w14:paraId="5F185401" w14:textId="77777777" w:rsidR="0063565A" w:rsidRPr="000C650E" w:rsidRDefault="0063565A" w:rsidP="000C650E">
      <w:pPr>
        <w:spacing w:line="360" w:lineRule="auto"/>
        <w:ind w:left="720" w:hanging="720"/>
        <w:jc w:val="both"/>
        <w:rPr>
          <w:rFonts w:ascii="Times New Roman" w:eastAsia="Calibri" w:hAnsi="Times New Roman" w:cs="Times New Roman"/>
          <w:sz w:val="24"/>
          <w:szCs w:val="24"/>
        </w:rPr>
      </w:pPr>
      <w:r w:rsidRPr="000C650E">
        <w:rPr>
          <w:rFonts w:ascii="Times New Roman" w:eastAsia="Calibri" w:hAnsi="Times New Roman" w:cs="Times New Roman"/>
          <w:sz w:val="24"/>
          <w:szCs w:val="24"/>
        </w:rPr>
        <w:t>Leyva, M. (2012) El diagnóstico psicopedagógico integral a escolares con indicadores de retraso mental en el Centro de Diagnóstico y Orientación, [Tesis de doctorado, CELAEE-IPLAC] [Archivo PDF Material inédito].</w:t>
      </w:r>
    </w:p>
    <w:p w14:paraId="435B9CC7" w14:textId="797098C7" w:rsidR="0063565A" w:rsidRPr="000C650E" w:rsidRDefault="00407490" w:rsidP="000C650E">
      <w:pPr>
        <w:spacing w:after="200" w:line="360" w:lineRule="auto"/>
        <w:ind w:left="360" w:hanging="3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Massani</w:t>
      </w:r>
      <w:proofErr w:type="spellEnd"/>
      <w:r>
        <w:rPr>
          <w:rFonts w:ascii="Times New Roman" w:eastAsia="Calibri" w:hAnsi="Times New Roman" w:cs="Times New Roman"/>
          <w:sz w:val="24"/>
          <w:szCs w:val="24"/>
        </w:rPr>
        <w:t>, J.F. (</w:t>
      </w:r>
      <w:r w:rsidRPr="000C650E">
        <w:rPr>
          <w:rFonts w:ascii="Times New Roman" w:eastAsia="Calibri" w:hAnsi="Times New Roman" w:cs="Times New Roman"/>
          <w:sz w:val="24"/>
          <w:szCs w:val="24"/>
        </w:rPr>
        <w:t>2009</w:t>
      </w:r>
      <w:r>
        <w:rPr>
          <w:rFonts w:ascii="Times New Roman" w:eastAsia="Calibri" w:hAnsi="Times New Roman" w:cs="Times New Roman"/>
          <w:sz w:val="24"/>
          <w:szCs w:val="24"/>
        </w:rPr>
        <w:t>)</w:t>
      </w:r>
      <w:r w:rsidR="0063565A" w:rsidRPr="000C650E">
        <w:rPr>
          <w:rFonts w:ascii="Times New Roman" w:eastAsia="Calibri" w:hAnsi="Times New Roman" w:cs="Times New Roman"/>
          <w:sz w:val="24"/>
          <w:szCs w:val="24"/>
        </w:rPr>
        <w:t xml:space="preserve"> Metodología para el diagnóstico psicopedagógico de niños y niñas con autismo. Un estudio de caso en la provincia de Cienfuegos”. Tesis en opción al grado científico de Doctor en C</w:t>
      </w:r>
      <w:r>
        <w:rPr>
          <w:rFonts w:ascii="Times New Roman" w:eastAsia="Calibri" w:hAnsi="Times New Roman" w:cs="Times New Roman"/>
          <w:sz w:val="24"/>
          <w:szCs w:val="24"/>
        </w:rPr>
        <w:t>iencias Pedagógicas, Cienfuegos</w:t>
      </w:r>
      <w:r w:rsidR="0063565A" w:rsidRPr="000C650E">
        <w:rPr>
          <w:rFonts w:ascii="Times New Roman" w:eastAsia="Calibri" w:hAnsi="Times New Roman" w:cs="Times New Roman"/>
          <w:sz w:val="24"/>
          <w:szCs w:val="24"/>
        </w:rPr>
        <w:t>.</w:t>
      </w:r>
    </w:p>
    <w:p w14:paraId="2C9A6625" w14:textId="7340DBF0" w:rsidR="0063565A" w:rsidRPr="000C650E" w:rsidRDefault="0063565A" w:rsidP="000C650E">
      <w:pPr>
        <w:spacing w:after="200" w:line="360" w:lineRule="auto"/>
        <w:ind w:left="360" w:hanging="360"/>
        <w:jc w:val="both"/>
        <w:rPr>
          <w:rFonts w:ascii="Times New Roman" w:eastAsia="Calibri" w:hAnsi="Times New Roman" w:cs="Times New Roman"/>
          <w:sz w:val="24"/>
          <w:szCs w:val="24"/>
        </w:rPr>
      </w:pPr>
      <w:proofErr w:type="spellStart"/>
      <w:r w:rsidRPr="000C650E">
        <w:rPr>
          <w:rFonts w:ascii="Times New Roman" w:eastAsia="Calibri" w:hAnsi="Times New Roman" w:cs="Times New Roman"/>
          <w:sz w:val="24"/>
          <w:szCs w:val="24"/>
        </w:rPr>
        <w:t>Riviere</w:t>
      </w:r>
      <w:proofErr w:type="spellEnd"/>
      <w:r w:rsidRPr="000C650E">
        <w:rPr>
          <w:rFonts w:ascii="Times New Roman" w:eastAsia="Calibri" w:hAnsi="Times New Roman" w:cs="Times New Roman"/>
          <w:sz w:val="24"/>
          <w:szCs w:val="24"/>
        </w:rPr>
        <w:t>, A. (199</w:t>
      </w:r>
      <w:r w:rsidR="00D17D8F">
        <w:rPr>
          <w:rFonts w:ascii="Times New Roman" w:eastAsia="Calibri" w:hAnsi="Times New Roman" w:cs="Times New Roman"/>
          <w:sz w:val="24"/>
          <w:szCs w:val="24"/>
        </w:rPr>
        <w:t>0</w:t>
      </w:r>
      <w:r w:rsidRPr="000C650E">
        <w:rPr>
          <w:rFonts w:ascii="Times New Roman" w:eastAsia="Calibri" w:hAnsi="Times New Roman" w:cs="Times New Roman"/>
          <w:sz w:val="24"/>
          <w:szCs w:val="24"/>
        </w:rPr>
        <w:t>) Definición, etiología, educación, familia, papel psicopedagógico en el autismo. Curso de desarrollo normal y autismo. [Puerto de la Cruz, Santa Cruz de Tenerife, España. [Archivo PDF].</w:t>
      </w:r>
    </w:p>
    <w:p w14:paraId="3A4D69D7" w14:textId="77777777" w:rsidR="0063565A" w:rsidRPr="000C650E" w:rsidRDefault="0063565A" w:rsidP="000C650E">
      <w:pPr>
        <w:spacing w:line="360" w:lineRule="auto"/>
        <w:ind w:left="720" w:hanging="720"/>
        <w:jc w:val="both"/>
        <w:rPr>
          <w:rFonts w:ascii="Times New Roman" w:eastAsia="Calibri" w:hAnsi="Times New Roman" w:cs="Times New Roman"/>
          <w:sz w:val="24"/>
          <w:szCs w:val="24"/>
        </w:rPr>
      </w:pPr>
      <w:r w:rsidRPr="000C650E">
        <w:rPr>
          <w:rFonts w:ascii="Times New Roman" w:eastAsia="Calibri" w:hAnsi="Times New Roman" w:cs="Times New Roman"/>
          <w:sz w:val="24"/>
          <w:szCs w:val="24"/>
        </w:rPr>
        <w:t xml:space="preserve">Torres, M. (2000) </w:t>
      </w:r>
      <w:r w:rsidRPr="000C650E">
        <w:rPr>
          <w:rFonts w:ascii="Times New Roman" w:eastAsia="Calibri" w:hAnsi="Times New Roman" w:cs="Times New Roman"/>
          <w:i/>
          <w:sz w:val="24"/>
          <w:szCs w:val="24"/>
        </w:rPr>
        <w:t>Selección de lecturas sobre diagnóstico psicopedagógico</w:t>
      </w:r>
      <w:r w:rsidRPr="000C650E">
        <w:rPr>
          <w:rFonts w:ascii="Times New Roman" w:eastAsia="Calibri" w:hAnsi="Times New Roman" w:cs="Times New Roman"/>
          <w:sz w:val="24"/>
          <w:szCs w:val="24"/>
        </w:rPr>
        <w:t>. Pueblo y Educación.</w:t>
      </w:r>
    </w:p>
    <w:p w14:paraId="4E237EE3" w14:textId="7ECC2374" w:rsidR="00407490" w:rsidRPr="000C650E" w:rsidRDefault="00407490" w:rsidP="00407490">
      <w:pPr>
        <w:spacing w:after="200" w:line="36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Zurita, C &amp; otros (</w:t>
      </w:r>
      <w:r w:rsidRPr="000C650E">
        <w:rPr>
          <w:rFonts w:ascii="Times New Roman" w:eastAsia="Calibri" w:hAnsi="Times New Roman" w:cs="Times New Roman"/>
          <w:sz w:val="24"/>
          <w:szCs w:val="24"/>
        </w:rPr>
        <w:t>2014</w:t>
      </w:r>
      <w:r>
        <w:rPr>
          <w:rFonts w:ascii="Times New Roman" w:eastAsia="Calibri" w:hAnsi="Times New Roman" w:cs="Times New Roman"/>
          <w:sz w:val="24"/>
          <w:szCs w:val="24"/>
        </w:rPr>
        <w:t xml:space="preserve">) </w:t>
      </w:r>
      <w:r w:rsidRPr="000C650E">
        <w:rPr>
          <w:rFonts w:ascii="Times New Roman" w:eastAsia="Calibri" w:hAnsi="Times New Roman" w:cs="Times New Roman"/>
          <w:sz w:val="24"/>
          <w:szCs w:val="24"/>
        </w:rPr>
        <w:t>El proceso de diagnóstico y orientación, premisa necesaria para el cambio educativo, Congreso d</w:t>
      </w:r>
      <w:r>
        <w:rPr>
          <w:rFonts w:ascii="Times New Roman" w:eastAsia="Calibri" w:hAnsi="Times New Roman" w:cs="Times New Roman"/>
          <w:sz w:val="24"/>
          <w:szCs w:val="24"/>
        </w:rPr>
        <w:t>e Educación Especial, La Habana</w:t>
      </w:r>
      <w:r w:rsidRPr="000C650E">
        <w:rPr>
          <w:rFonts w:ascii="Times New Roman" w:eastAsia="Calibri" w:hAnsi="Times New Roman" w:cs="Times New Roman"/>
          <w:sz w:val="24"/>
          <w:szCs w:val="24"/>
        </w:rPr>
        <w:t>.</w:t>
      </w:r>
    </w:p>
    <w:p w14:paraId="46E23320" w14:textId="59B9CC1C" w:rsidR="0063565A" w:rsidRPr="000C650E" w:rsidRDefault="00407490" w:rsidP="000C650E">
      <w:pPr>
        <w:spacing w:line="360" w:lineRule="auto"/>
        <w:ind w:left="36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Zurita, C &amp; otros. (</w:t>
      </w:r>
      <w:r w:rsidRPr="000C650E">
        <w:rPr>
          <w:rFonts w:ascii="Times New Roman" w:eastAsia="Calibri" w:hAnsi="Times New Roman" w:cs="Times New Roman"/>
          <w:sz w:val="24"/>
          <w:szCs w:val="24"/>
        </w:rPr>
        <w:t>2016</w:t>
      </w:r>
      <w:r>
        <w:rPr>
          <w:rFonts w:ascii="Times New Roman" w:eastAsia="Calibri" w:hAnsi="Times New Roman" w:cs="Times New Roman"/>
          <w:sz w:val="24"/>
          <w:szCs w:val="24"/>
        </w:rPr>
        <w:t>)</w:t>
      </w:r>
      <w:r w:rsidR="0063565A" w:rsidRPr="000C650E">
        <w:rPr>
          <w:rFonts w:ascii="Times New Roman" w:eastAsia="Calibri" w:hAnsi="Times New Roman" w:cs="Times New Roman"/>
          <w:sz w:val="24"/>
          <w:szCs w:val="24"/>
        </w:rPr>
        <w:t xml:space="preserve"> Diagnóstico e inclusión: un binomio que genera nuevos retos para una educación de calidad, Congreso Pedagogía </w:t>
      </w:r>
      <w:r>
        <w:rPr>
          <w:rFonts w:ascii="Times New Roman" w:eastAsia="Calibri" w:hAnsi="Times New Roman" w:cs="Times New Roman"/>
          <w:sz w:val="24"/>
          <w:szCs w:val="24"/>
        </w:rPr>
        <w:t>y Educación Especial, La Habana.</w:t>
      </w:r>
    </w:p>
    <w:p w14:paraId="6BB7668E" w14:textId="77777777" w:rsidR="00093506" w:rsidRPr="000C650E" w:rsidRDefault="00093506">
      <w:pPr>
        <w:spacing w:after="0" w:line="360" w:lineRule="auto"/>
        <w:jc w:val="both"/>
        <w:rPr>
          <w:rFonts w:ascii="Times New Roman" w:hAnsi="Times New Roman" w:cs="Times New Roman"/>
          <w:sz w:val="24"/>
          <w:szCs w:val="24"/>
        </w:rPr>
      </w:pPr>
    </w:p>
    <w:p w14:paraId="7150B74C" w14:textId="4094CAA8" w:rsidR="001214CF" w:rsidRPr="000C650E" w:rsidRDefault="001214CF" w:rsidP="001214CF">
      <w:pPr>
        <w:widowControl w:val="0"/>
        <w:spacing w:after="120" w:line="360" w:lineRule="auto"/>
        <w:jc w:val="center"/>
        <w:rPr>
          <w:rFonts w:ascii="Times New Roman" w:eastAsia="Times New Roman" w:hAnsi="Times New Roman" w:cs="Times New Roman"/>
          <w:b/>
          <w:sz w:val="24"/>
          <w:szCs w:val="24"/>
          <w:lang w:eastAsia="es-ES"/>
        </w:rPr>
      </w:pPr>
      <w:r w:rsidRPr="000C650E">
        <w:rPr>
          <w:rFonts w:ascii="Times New Roman" w:eastAsia="Times New Roman" w:hAnsi="Times New Roman" w:cs="Times New Roman"/>
          <w:b/>
          <w:sz w:val="24"/>
          <w:szCs w:val="24"/>
          <w:lang w:eastAsia="es-ES"/>
        </w:rPr>
        <w:t>DECLARACIÓN DE CONFLICTO Y CONTRIBUCIÓN DE LOS AUTORES</w:t>
      </w:r>
    </w:p>
    <w:p w14:paraId="6238DB91" w14:textId="73EA19FE" w:rsidR="00093506" w:rsidRPr="00FD24E2" w:rsidRDefault="00441669" w:rsidP="00FD21CB">
      <w:pPr>
        <w:spacing w:after="0" w:line="360" w:lineRule="auto"/>
        <w:jc w:val="both"/>
        <w:rPr>
          <w:rFonts w:ascii="Times New Roman" w:eastAsia="SimSun" w:hAnsi="Times New Roman" w:cs="Times New Roman"/>
          <w:color w:val="000000"/>
          <w:sz w:val="24"/>
          <w:szCs w:val="24"/>
          <w:lang w:eastAsia="zh-CN" w:bidi="ar"/>
        </w:rPr>
      </w:pPr>
      <w:r w:rsidRPr="00FD24E2">
        <w:rPr>
          <w:rFonts w:ascii="Times New Roman" w:eastAsia="SimSun" w:hAnsi="Times New Roman" w:cs="Times New Roman"/>
          <w:color w:val="000000"/>
          <w:sz w:val="24"/>
          <w:szCs w:val="24"/>
          <w:lang w:eastAsia="zh-CN" w:bidi="ar"/>
        </w:rPr>
        <w:t>Este autor declara que lo escrito en este manuscrito es original y no se ha enviado a otra Revista</w:t>
      </w:r>
      <w:r w:rsidR="00FD21CB" w:rsidRPr="00FD24E2">
        <w:rPr>
          <w:rFonts w:ascii="Times New Roman" w:eastAsia="SimSun" w:hAnsi="Times New Roman" w:cs="Times New Roman"/>
          <w:color w:val="000000"/>
          <w:sz w:val="24"/>
          <w:szCs w:val="24"/>
          <w:lang w:eastAsia="zh-CN" w:bidi="ar"/>
        </w:rPr>
        <w:t xml:space="preserve"> </w:t>
      </w:r>
      <w:r w:rsidRPr="00FD24E2">
        <w:rPr>
          <w:rFonts w:ascii="Times New Roman" w:eastAsia="SimSun" w:hAnsi="Times New Roman" w:cs="Times New Roman"/>
          <w:color w:val="000000"/>
          <w:sz w:val="24"/>
          <w:szCs w:val="24"/>
          <w:lang w:eastAsia="zh-CN" w:bidi="ar"/>
        </w:rPr>
        <w:t xml:space="preserve">y me hago responsable del total de contenido que aparece y en este no existen plagios ni </w:t>
      </w:r>
      <w:r w:rsidRPr="000C650E">
        <w:rPr>
          <w:rFonts w:ascii="Times New Roman" w:eastAsia="SimSun" w:hAnsi="Times New Roman" w:cs="Times New Roman"/>
          <w:color w:val="000000"/>
          <w:sz w:val="24"/>
          <w:szCs w:val="24"/>
          <w:lang w:eastAsia="zh-CN" w:bidi="ar"/>
        </w:rPr>
        <w:t>c</w:t>
      </w:r>
      <w:r w:rsidRPr="00FD24E2">
        <w:rPr>
          <w:rFonts w:ascii="Times New Roman" w:eastAsia="SimSun" w:hAnsi="Times New Roman" w:cs="Times New Roman"/>
          <w:color w:val="000000"/>
          <w:sz w:val="24"/>
          <w:szCs w:val="24"/>
          <w:lang w:eastAsia="zh-CN" w:bidi="ar"/>
        </w:rPr>
        <w:t>onflictos de intereses ni éticos.</w:t>
      </w:r>
    </w:p>
    <w:p w14:paraId="796454A9" w14:textId="38A6C6ED" w:rsidR="00FD21CB" w:rsidRPr="000C650E" w:rsidRDefault="00FD21CB" w:rsidP="00FD21CB">
      <w:pPr>
        <w:spacing w:after="0" w:line="360" w:lineRule="auto"/>
        <w:jc w:val="both"/>
        <w:rPr>
          <w:rFonts w:ascii="Times New Roman" w:hAnsi="Times New Roman" w:cs="Times New Roman"/>
          <w:sz w:val="24"/>
          <w:szCs w:val="24"/>
        </w:rPr>
      </w:pPr>
      <w:proofErr w:type="spellStart"/>
      <w:r w:rsidRPr="00FD24E2">
        <w:rPr>
          <w:rFonts w:ascii="Times New Roman" w:eastAsia="SimSun" w:hAnsi="Times New Roman" w:cs="Times New Roman"/>
          <w:color w:val="000000"/>
          <w:sz w:val="24"/>
          <w:szCs w:val="24"/>
          <w:lang w:eastAsia="zh-CN" w:bidi="ar"/>
        </w:rPr>
        <w:t>Edwuin</w:t>
      </w:r>
      <w:proofErr w:type="spellEnd"/>
      <w:r w:rsidRPr="00FD24E2">
        <w:rPr>
          <w:rFonts w:ascii="Times New Roman" w:eastAsia="SimSun" w:hAnsi="Times New Roman" w:cs="Times New Roman"/>
          <w:color w:val="000000"/>
          <w:sz w:val="24"/>
          <w:szCs w:val="24"/>
          <w:lang w:eastAsia="zh-CN" w:bidi="ar"/>
        </w:rPr>
        <w:t xml:space="preserve"> Torres Olivera: </w:t>
      </w:r>
      <w:r w:rsidRPr="00FD21CB">
        <w:rPr>
          <w:rFonts w:ascii="Times New Roman" w:hAnsi="Times New Roman" w:cs="Times New Roman"/>
          <w:sz w:val="24"/>
          <w:szCs w:val="24"/>
        </w:rPr>
        <w:t>Conceptualización – Ideas; formulación o evolución de las metas y objetivos generales de la investigación</w:t>
      </w:r>
      <w:r>
        <w:rPr>
          <w:rFonts w:ascii="Times New Roman" w:hAnsi="Times New Roman" w:cs="Times New Roman"/>
          <w:sz w:val="24"/>
          <w:szCs w:val="24"/>
        </w:rPr>
        <w:t>, a</w:t>
      </w:r>
      <w:r w:rsidRPr="00FD21CB">
        <w:rPr>
          <w:rFonts w:ascii="Times New Roman" w:hAnsi="Times New Roman" w:cs="Times New Roman"/>
          <w:sz w:val="24"/>
          <w:szCs w:val="24"/>
        </w:rPr>
        <w:t>nálisis formal</w:t>
      </w:r>
      <w:r>
        <w:rPr>
          <w:rFonts w:ascii="Times New Roman" w:hAnsi="Times New Roman" w:cs="Times New Roman"/>
          <w:sz w:val="24"/>
          <w:szCs w:val="24"/>
        </w:rPr>
        <w:t>, i</w:t>
      </w:r>
      <w:r w:rsidRPr="00FD21CB">
        <w:rPr>
          <w:rFonts w:ascii="Times New Roman" w:hAnsi="Times New Roman" w:cs="Times New Roman"/>
          <w:sz w:val="24"/>
          <w:szCs w:val="24"/>
        </w:rPr>
        <w:t>nvestigación</w:t>
      </w:r>
      <w:r>
        <w:rPr>
          <w:rFonts w:ascii="Times New Roman" w:hAnsi="Times New Roman" w:cs="Times New Roman"/>
          <w:sz w:val="24"/>
          <w:szCs w:val="24"/>
        </w:rPr>
        <w:t xml:space="preserve">, </w:t>
      </w:r>
      <w:bookmarkStart w:id="3" w:name="_Hlk193685586"/>
      <w:r>
        <w:rPr>
          <w:rFonts w:ascii="Times New Roman" w:hAnsi="Times New Roman" w:cs="Times New Roman"/>
          <w:sz w:val="24"/>
          <w:szCs w:val="24"/>
        </w:rPr>
        <w:t>m</w:t>
      </w:r>
      <w:r w:rsidRPr="00FD21CB">
        <w:rPr>
          <w:rFonts w:ascii="Times New Roman" w:hAnsi="Times New Roman" w:cs="Times New Roman"/>
          <w:sz w:val="24"/>
          <w:szCs w:val="24"/>
        </w:rPr>
        <w:t>etodología</w:t>
      </w:r>
      <w:r>
        <w:rPr>
          <w:rFonts w:ascii="Times New Roman" w:hAnsi="Times New Roman" w:cs="Times New Roman"/>
          <w:sz w:val="24"/>
          <w:szCs w:val="24"/>
        </w:rPr>
        <w:t>, r</w:t>
      </w:r>
      <w:r w:rsidRPr="00FD21CB">
        <w:rPr>
          <w:rFonts w:ascii="Times New Roman" w:hAnsi="Times New Roman" w:cs="Times New Roman"/>
          <w:sz w:val="24"/>
          <w:szCs w:val="24"/>
        </w:rPr>
        <w:t>edacción</w:t>
      </w:r>
      <w:r>
        <w:rPr>
          <w:rFonts w:ascii="Times New Roman" w:hAnsi="Times New Roman" w:cs="Times New Roman"/>
          <w:sz w:val="24"/>
          <w:szCs w:val="24"/>
        </w:rPr>
        <w:t>, r</w:t>
      </w:r>
      <w:r w:rsidRPr="00FD21CB">
        <w:rPr>
          <w:rFonts w:ascii="Times New Roman" w:hAnsi="Times New Roman" w:cs="Times New Roman"/>
          <w:sz w:val="24"/>
          <w:szCs w:val="24"/>
        </w:rPr>
        <w:t>edacción – revisión y edición</w:t>
      </w:r>
      <w:r>
        <w:rPr>
          <w:rFonts w:ascii="Times New Roman" w:hAnsi="Times New Roman" w:cs="Times New Roman"/>
          <w:sz w:val="24"/>
          <w:szCs w:val="24"/>
        </w:rPr>
        <w:t xml:space="preserve">. </w:t>
      </w:r>
    </w:p>
    <w:bookmarkEnd w:id="3"/>
    <w:p w14:paraId="7B64D6F2" w14:textId="77777777" w:rsidR="00FD21CB" w:rsidRPr="000C650E" w:rsidRDefault="00FD21CB" w:rsidP="00FD21CB">
      <w:pPr>
        <w:spacing w:after="0" w:line="360" w:lineRule="auto"/>
        <w:jc w:val="both"/>
        <w:rPr>
          <w:rFonts w:ascii="Times New Roman" w:hAnsi="Times New Roman" w:cs="Times New Roman"/>
          <w:sz w:val="24"/>
          <w:szCs w:val="24"/>
        </w:rPr>
      </w:pPr>
      <w:proofErr w:type="spellStart"/>
      <w:r w:rsidRPr="00FD21CB">
        <w:rPr>
          <w:rFonts w:ascii="Times New Roman" w:hAnsi="Times New Roman" w:cs="Times New Roman"/>
          <w:sz w:val="24"/>
          <w:szCs w:val="24"/>
        </w:rPr>
        <w:t>Arahy</w:t>
      </w:r>
      <w:proofErr w:type="spellEnd"/>
      <w:r w:rsidRPr="00FD21CB">
        <w:rPr>
          <w:rFonts w:ascii="Times New Roman" w:hAnsi="Times New Roman" w:cs="Times New Roman"/>
          <w:sz w:val="24"/>
          <w:szCs w:val="24"/>
        </w:rPr>
        <w:t xml:space="preserve"> Martín Ruíz</w:t>
      </w:r>
      <w:r>
        <w:rPr>
          <w:rFonts w:ascii="Times New Roman" w:hAnsi="Times New Roman" w:cs="Times New Roman"/>
          <w:sz w:val="24"/>
          <w:szCs w:val="24"/>
        </w:rPr>
        <w:t>: m</w:t>
      </w:r>
      <w:r w:rsidRPr="00FD21CB">
        <w:rPr>
          <w:rFonts w:ascii="Times New Roman" w:hAnsi="Times New Roman" w:cs="Times New Roman"/>
          <w:sz w:val="24"/>
          <w:szCs w:val="24"/>
        </w:rPr>
        <w:t>etodología</w:t>
      </w:r>
      <w:r>
        <w:rPr>
          <w:rFonts w:ascii="Times New Roman" w:hAnsi="Times New Roman" w:cs="Times New Roman"/>
          <w:sz w:val="24"/>
          <w:szCs w:val="24"/>
        </w:rPr>
        <w:t>, r</w:t>
      </w:r>
      <w:r w:rsidRPr="00FD21CB">
        <w:rPr>
          <w:rFonts w:ascii="Times New Roman" w:hAnsi="Times New Roman" w:cs="Times New Roman"/>
          <w:sz w:val="24"/>
          <w:szCs w:val="24"/>
        </w:rPr>
        <w:t>edacción</w:t>
      </w:r>
      <w:r>
        <w:rPr>
          <w:rFonts w:ascii="Times New Roman" w:hAnsi="Times New Roman" w:cs="Times New Roman"/>
          <w:sz w:val="24"/>
          <w:szCs w:val="24"/>
        </w:rPr>
        <w:t>, r</w:t>
      </w:r>
      <w:r w:rsidRPr="00FD21CB">
        <w:rPr>
          <w:rFonts w:ascii="Times New Roman" w:hAnsi="Times New Roman" w:cs="Times New Roman"/>
          <w:sz w:val="24"/>
          <w:szCs w:val="24"/>
        </w:rPr>
        <w:t>edacción – revisión y edición</w:t>
      </w:r>
      <w:r>
        <w:rPr>
          <w:rFonts w:ascii="Times New Roman" w:hAnsi="Times New Roman" w:cs="Times New Roman"/>
          <w:sz w:val="24"/>
          <w:szCs w:val="24"/>
        </w:rPr>
        <w:t xml:space="preserve">. </w:t>
      </w:r>
    </w:p>
    <w:p w14:paraId="17CCFBAD" w14:textId="6696FD65" w:rsidR="00093506" w:rsidRPr="000C650E" w:rsidRDefault="00093506">
      <w:pPr>
        <w:spacing w:after="0" w:line="360" w:lineRule="auto"/>
        <w:jc w:val="both"/>
        <w:rPr>
          <w:rFonts w:ascii="Times New Roman" w:hAnsi="Times New Roman" w:cs="Times New Roman"/>
          <w:sz w:val="24"/>
          <w:szCs w:val="24"/>
        </w:rPr>
      </w:pPr>
    </w:p>
    <w:p w14:paraId="2DDFE5CE" w14:textId="77777777" w:rsidR="00093506" w:rsidRPr="000C650E" w:rsidRDefault="00093506">
      <w:pPr>
        <w:spacing w:after="0" w:line="360" w:lineRule="auto"/>
        <w:jc w:val="both"/>
        <w:rPr>
          <w:rFonts w:ascii="Times New Roman" w:hAnsi="Times New Roman" w:cs="Times New Roman"/>
          <w:sz w:val="24"/>
          <w:szCs w:val="24"/>
        </w:rPr>
      </w:pPr>
    </w:p>
    <w:p w14:paraId="017FCE08" w14:textId="77777777" w:rsidR="00093506" w:rsidRPr="000C650E" w:rsidRDefault="00093506">
      <w:pPr>
        <w:widowControl w:val="0"/>
        <w:spacing w:after="0" w:line="360" w:lineRule="auto"/>
        <w:jc w:val="both"/>
        <w:rPr>
          <w:rFonts w:ascii="Times New Roman" w:eastAsia="Calibri" w:hAnsi="Times New Roman" w:cs="Times New Roman"/>
          <w:b/>
          <w:sz w:val="24"/>
          <w:szCs w:val="24"/>
          <w:lang w:val="es-MX"/>
        </w:rPr>
      </w:pPr>
    </w:p>
    <w:p w14:paraId="1F0FB33E" w14:textId="77777777" w:rsidR="00093506" w:rsidRPr="000C650E" w:rsidRDefault="00093506">
      <w:pPr>
        <w:widowControl w:val="0"/>
        <w:spacing w:after="0" w:line="360" w:lineRule="auto"/>
        <w:jc w:val="center"/>
        <w:rPr>
          <w:rFonts w:ascii="Times New Roman" w:eastAsia="Calibri" w:hAnsi="Times New Roman" w:cs="Times New Roman"/>
          <w:b/>
          <w:sz w:val="24"/>
          <w:szCs w:val="24"/>
          <w:lang w:val="es-MX"/>
        </w:rPr>
      </w:pPr>
    </w:p>
    <w:p w14:paraId="385C1D0E" w14:textId="77777777" w:rsidR="00093506" w:rsidRPr="000C650E" w:rsidRDefault="00093506">
      <w:pPr>
        <w:widowControl w:val="0"/>
        <w:spacing w:after="0" w:line="360" w:lineRule="auto"/>
        <w:jc w:val="both"/>
        <w:rPr>
          <w:rFonts w:ascii="Times New Roman" w:eastAsia="Calibri" w:hAnsi="Times New Roman" w:cs="Times New Roman"/>
          <w:b/>
          <w:sz w:val="24"/>
          <w:szCs w:val="24"/>
          <w:lang w:val="es-MX"/>
        </w:rPr>
      </w:pPr>
    </w:p>
    <w:p w14:paraId="40D364A9" w14:textId="77777777" w:rsidR="00093506" w:rsidRPr="000C650E" w:rsidRDefault="00093506">
      <w:pPr>
        <w:spacing w:line="360" w:lineRule="auto"/>
        <w:rPr>
          <w:rFonts w:ascii="Times New Roman" w:eastAsia="Calibri" w:hAnsi="Times New Roman" w:cs="Times New Roman"/>
          <w:sz w:val="24"/>
          <w:szCs w:val="24"/>
          <w:lang w:val="es-MX"/>
        </w:rPr>
      </w:pPr>
    </w:p>
    <w:p w14:paraId="34CBD3D7" w14:textId="1074EA9E" w:rsidR="00093506" w:rsidRPr="000C650E" w:rsidRDefault="00441669" w:rsidP="001214CF">
      <w:pPr>
        <w:spacing w:line="360" w:lineRule="auto"/>
        <w:rPr>
          <w:rFonts w:ascii="Times New Roman" w:hAnsi="Times New Roman" w:cs="Times New Roman"/>
          <w:sz w:val="24"/>
        </w:rPr>
      </w:pPr>
      <w:r w:rsidRPr="000C650E">
        <w:rPr>
          <w:rFonts w:ascii="Times New Roman" w:hAnsi="Times New Roman" w:cs="Times New Roman"/>
          <w:sz w:val="24"/>
        </w:rPr>
        <w:t xml:space="preserve">   </w:t>
      </w:r>
    </w:p>
    <w:sectPr w:rsidR="00093506" w:rsidRPr="000C650E" w:rsidSect="00116869">
      <w:headerReference w:type="default" r:id="rId13"/>
      <w:footerReference w:type="default" r:id="rId14"/>
      <w:pgSz w:w="12240" w:h="15840"/>
      <w:pgMar w:top="1134" w:right="1134" w:bottom="1134" w:left="1134" w:header="811" w:footer="454" w:gutter="0"/>
      <w:pgNumType w:start="3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AFB8" w14:textId="77777777" w:rsidR="00566528" w:rsidRDefault="00566528">
      <w:pPr>
        <w:spacing w:line="240" w:lineRule="auto"/>
      </w:pPr>
      <w:r>
        <w:separator/>
      </w:r>
    </w:p>
  </w:endnote>
  <w:endnote w:type="continuationSeparator" w:id="0">
    <w:p w14:paraId="6A71E522" w14:textId="77777777" w:rsidR="00566528" w:rsidRDefault="005665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093506" w14:paraId="104D8E51" w14:textId="77777777">
      <w:trPr>
        <w:trHeight w:val="310"/>
        <w:jc w:val="center"/>
      </w:trPr>
      <w:tc>
        <w:tcPr>
          <w:tcW w:w="1804" w:type="dxa"/>
          <w:shd w:val="clear" w:color="auto" w:fill="00B0F0"/>
          <w:tcMar>
            <w:top w:w="144" w:type="dxa"/>
            <w:left w:w="115" w:type="dxa"/>
            <w:bottom w:w="144" w:type="dxa"/>
            <w:right w:w="115" w:type="dxa"/>
          </w:tcMar>
          <w:vAlign w:val="center"/>
        </w:tcPr>
        <w:p w14:paraId="6F8B8232" w14:textId="77777777" w:rsidR="00093506" w:rsidRDefault="00441669">
          <w:pPr>
            <w:spacing w:after="0" w:line="240" w:lineRule="auto"/>
            <w:rPr>
              <w:b/>
              <w:color w:val="FFFFFF" w:themeColor="background1"/>
            </w:rPr>
          </w:pPr>
          <w:r>
            <w:rPr>
              <w:noProof/>
              <w:lang w:eastAsia="es-ES"/>
            </w:rPr>
            <w:drawing>
              <wp:inline distT="0" distB="0" distL="0" distR="0" wp14:anchorId="3778820D" wp14:editId="25220870">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60EADA7" w14:textId="77777777" w:rsidR="00093506" w:rsidRDefault="00441669">
          <w:pPr>
            <w:spacing w:after="0" w:line="240" w:lineRule="auto"/>
            <w:rPr>
              <w:color w:val="FFFFFF" w:themeColor="background1"/>
              <w:sz w:val="20"/>
            </w:rPr>
          </w:pPr>
          <w:r>
            <w:rPr>
              <w:color w:val="FFFFFF" w:themeColor="background1"/>
              <w:sz w:val="20"/>
            </w:rPr>
            <w:t xml:space="preserve">Artículo de acceso abierto distribuido bajo los términos de la licencia Creative </w:t>
          </w:r>
          <w:proofErr w:type="spellStart"/>
          <w:r>
            <w:rPr>
              <w:color w:val="FFFFFF" w:themeColor="background1"/>
              <w:sz w:val="20"/>
            </w:rPr>
            <w:t>Commons</w:t>
          </w:r>
          <w:proofErr w:type="spellEnd"/>
          <w:r>
            <w:rPr>
              <w:color w:val="FFFFFF" w:themeColor="background1"/>
              <w:sz w:val="20"/>
            </w:rPr>
            <w:t xml:space="preserve">. </w:t>
          </w:r>
        </w:p>
        <w:p w14:paraId="0C28B251" w14:textId="29DBE909" w:rsidR="00093506" w:rsidRDefault="00441669">
          <w:pPr>
            <w:spacing w:after="0" w:line="240" w:lineRule="auto"/>
            <w:rPr>
              <w:b/>
              <w:color w:val="FFFFFF" w:themeColor="background1"/>
            </w:rPr>
          </w:pPr>
          <w:r>
            <w:rPr>
              <w:color w:val="FFFFFF" w:themeColor="background1"/>
              <w:sz w:val="20"/>
            </w:rPr>
            <w:t>Reconocimiento-No</w:t>
          </w:r>
          <w:r w:rsidR="00817109">
            <w:rPr>
              <w:color w:val="FFFFFF" w:themeColor="background1"/>
              <w:sz w:val="20"/>
            </w:rPr>
            <w:t xml:space="preserve"> </w:t>
          </w:r>
          <w:r>
            <w:rPr>
              <w:color w:val="FFFFFF" w:themeColor="background1"/>
              <w:sz w:val="20"/>
            </w:rPr>
            <w:t>Comercial 4.0 Internacional (CC BY-NC 4.0)</w:t>
          </w:r>
        </w:p>
      </w:tc>
    </w:tr>
    <w:tr w:rsidR="00093506" w14:paraId="256E57AD"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0A597872" w14:textId="77777777" w:rsidR="00093506" w:rsidRDefault="00441669">
          <w:pPr>
            <w:spacing w:after="0" w:line="240" w:lineRule="auto"/>
            <w:jc w:val="center"/>
            <w:rPr>
              <w:color w:val="FFFFFF" w:themeColor="background1"/>
              <w:sz w:val="20"/>
            </w:rPr>
          </w:pPr>
          <w:r>
            <w:rPr>
              <w:color w:val="833C0B" w:themeColor="accent2" w:themeShade="80"/>
              <w:sz w:val="20"/>
            </w:rPr>
            <w:t>Calle 41 No. 3406 e/34 y 36 Playa, La Habana, Cuba.    /   revista@iccp.rimed.cu   /   www.cienciaspedagogicas.rimed.cu</w:t>
          </w:r>
        </w:p>
      </w:tc>
    </w:tr>
  </w:tbl>
  <w:p w14:paraId="794E1356" w14:textId="77777777" w:rsidR="00093506" w:rsidRDefault="00441669" w:rsidP="00116869">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407490">
      <w:rPr>
        <w:caps/>
        <w:noProof/>
        <w:color w:val="5B9BD5" w:themeColor="accent1"/>
      </w:rPr>
      <w:t>13</w:t>
    </w:r>
    <w:r>
      <w:rPr>
        <w:caps/>
        <w:color w:val="5B9BD5" w:themeColor="accent1"/>
      </w:rPr>
      <w:fldChar w:fldCharType="end"/>
    </w:r>
  </w:p>
  <w:p w14:paraId="4348B71D" w14:textId="77777777" w:rsidR="00093506" w:rsidRDefault="000935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A402" w14:textId="77777777" w:rsidR="00566528" w:rsidRDefault="00566528">
      <w:pPr>
        <w:spacing w:after="0"/>
      </w:pPr>
      <w:r>
        <w:separator/>
      </w:r>
    </w:p>
  </w:footnote>
  <w:footnote w:type="continuationSeparator" w:id="0">
    <w:p w14:paraId="71C77EFF" w14:textId="77777777" w:rsidR="00566528" w:rsidRDefault="00566528">
      <w:pPr>
        <w:spacing w:after="0"/>
      </w:pPr>
      <w:r>
        <w:continuationSeparator/>
      </w:r>
    </w:p>
  </w:footnote>
  <w:footnote w:id="1">
    <w:p w14:paraId="2BE8B6EA" w14:textId="2A79EF43" w:rsidR="00FA664B" w:rsidRDefault="00FA664B">
      <w:pPr>
        <w:pStyle w:val="Textonotapie"/>
      </w:pPr>
      <w:r>
        <w:rPr>
          <w:rStyle w:val="Refdenotaalpie"/>
        </w:rPr>
        <w:footnoteRef/>
      </w:r>
      <w:r>
        <w:t xml:space="preserve"> Licenciado en psicopedagogía. Se ha desempeñado como psicopedagogo en diversas instituciones educativas. Coordinador del proyecto de investigación de inclusión socioeducativa. </w:t>
      </w:r>
    </w:p>
  </w:footnote>
  <w:footnote w:id="2">
    <w:p w14:paraId="7A08D14A" w14:textId="1D4931E2" w:rsidR="0067666A" w:rsidRDefault="0067666A">
      <w:pPr>
        <w:pStyle w:val="Textonotapie"/>
      </w:pPr>
      <w:r>
        <w:rPr>
          <w:rStyle w:val="Refdenotaalpie"/>
        </w:rPr>
        <w:footnoteRef/>
      </w:r>
      <w:r>
        <w:t xml:space="preserve"> Licenciada</w:t>
      </w:r>
      <w:r w:rsidR="00817109" w:rsidRPr="00817109">
        <w:t xml:space="preserve"> en </w:t>
      </w:r>
      <w:proofErr w:type="spellStart"/>
      <w:r w:rsidR="00817109" w:rsidRPr="00817109">
        <w:t>Defectolog</w:t>
      </w:r>
      <w:r w:rsidR="00FD3781">
        <w:t>í</w:t>
      </w:r>
      <w:r w:rsidR="00817109" w:rsidRPr="00817109">
        <w:t>a</w:t>
      </w:r>
      <w:proofErr w:type="spellEnd"/>
      <w:r w:rsidR="00817109" w:rsidRPr="00817109">
        <w:t>, especialización en Psicología Pedagogía</w:t>
      </w:r>
      <w:r w:rsidR="00817109">
        <w:t xml:space="preserve">. </w:t>
      </w:r>
      <w:r w:rsidR="00817109" w:rsidRPr="00817109">
        <w:t>Técnica de proyectos de la OEI</w:t>
      </w:r>
      <w:r w:rsidR="0081710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10165" w:type="dxa"/>
      <w:jc w:val="center"/>
      <w:tblBorders>
        <w:insideH w:val="none" w:sz="0" w:space="0" w:color="auto"/>
        <w:insideV w:val="none" w:sz="0" w:space="0" w:color="auto"/>
      </w:tblBorders>
      <w:tblLook w:val="04A0" w:firstRow="1" w:lastRow="0" w:firstColumn="1" w:lastColumn="0" w:noHBand="0" w:noVBand="1"/>
    </w:tblPr>
    <w:tblGrid>
      <w:gridCol w:w="5600"/>
      <w:gridCol w:w="4565"/>
    </w:tblGrid>
    <w:tr w:rsidR="00FD24E2" w:rsidRPr="00FD24E2" w14:paraId="1B9FB10B" w14:textId="77777777" w:rsidTr="008E3BE8">
      <w:trPr>
        <w:jc w:val="center"/>
      </w:trPr>
      <w:tc>
        <w:tcPr>
          <w:tcW w:w="5600" w:type="dxa"/>
          <w:tcMar>
            <w:top w:w="72" w:type="dxa"/>
            <w:left w:w="115" w:type="dxa"/>
            <w:bottom w:w="72" w:type="dxa"/>
            <w:right w:w="115" w:type="dxa"/>
          </w:tcMar>
          <w:vAlign w:val="center"/>
        </w:tcPr>
        <w:p w14:paraId="762198B9" w14:textId="77777777" w:rsidR="00FD24E2" w:rsidRPr="00FD24E2" w:rsidRDefault="00FD24E2" w:rsidP="00FD24E2">
          <w:pPr>
            <w:spacing w:after="0" w:line="240" w:lineRule="auto"/>
            <w:jc w:val="center"/>
            <w:rPr>
              <w:rFonts w:ascii="Arial" w:eastAsia="Calibri" w:hAnsi="Arial" w:cs="Arial"/>
              <w:b/>
              <w:sz w:val="28"/>
              <w:szCs w:val="24"/>
            </w:rPr>
          </w:pPr>
          <w:r w:rsidRPr="00FD24E2">
            <w:rPr>
              <w:rFonts w:ascii="Calibri" w:eastAsia="Calibri" w:hAnsi="Calibri" w:cs="Times New Roman"/>
              <w:noProof/>
            </w:rPr>
            <w:drawing>
              <wp:inline distT="0" distB="0" distL="0" distR="0" wp14:anchorId="5857A160" wp14:editId="34D6CA6D">
                <wp:extent cx="3409950" cy="665254"/>
                <wp:effectExtent l="0" t="0" r="0" b="190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565" w:type="dxa"/>
          <w:shd w:val="clear" w:color="auto" w:fill="00B0F0"/>
          <w:tcMar>
            <w:top w:w="72" w:type="dxa"/>
            <w:left w:w="115" w:type="dxa"/>
            <w:bottom w:w="72" w:type="dxa"/>
            <w:right w:w="115" w:type="dxa"/>
          </w:tcMar>
          <w:vAlign w:val="center"/>
        </w:tcPr>
        <w:p w14:paraId="01ECE1AE" w14:textId="77777777" w:rsidR="00FD24E2" w:rsidRPr="00FD24E2" w:rsidRDefault="00FD24E2" w:rsidP="00FD24E2">
          <w:pPr>
            <w:spacing w:after="0" w:line="240" w:lineRule="auto"/>
            <w:jc w:val="center"/>
            <w:rPr>
              <w:rFonts w:ascii="Calibri" w:eastAsia="Calibri" w:hAnsi="Calibri" w:cs="Times New Roman"/>
              <w:b/>
              <w:color w:val="FFFFFF"/>
              <w:lang w:val="es-ES"/>
            </w:rPr>
          </w:pPr>
          <w:r w:rsidRPr="00FD24E2">
            <w:rPr>
              <w:rFonts w:ascii="Calibri" w:eastAsia="Calibri" w:hAnsi="Calibri" w:cs="Times New Roman"/>
              <w:b/>
              <w:color w:val="FFFFFF"/>
              <w:lang w:val="es-ES"/>
            </w:rPr>
            <w:t>ISSN: 1605 – 5888    RNPS: 1844</w:t>
          </w:r>
        </w:p>
        <w:p w14:paraId="779A760C" w14:textId="77777777" w:rsidR="00FD24E2" w:rsidRPr="00FD24E2" w:rsidRDefault="00FD24E2" w:rsidP="00FD24E2">
          <w:pPr>
            <w:spacing w:after="0" w:line="240" w:lineRule="auto"/>
            <w:jc w:val="center"/>
            <w:rPr>
              <w:rFonts w:ascii="Calibri" w:eastAsia="Calibri" w:hAnsi="Calibri" w:cs="Times New Roman"/>
              <w:b/>
              <w:color w:val="FFFFFF"/>
              <w:lang w:val="es-ES"/>
            </w:rPr>
          </w:pPr>
          <w:r w:rsidRPr="00FD24E2">
            <w:rPr>
              <w:rFonts w:ascii="Calibri" w:eastAsia="Calibri" w:hAnsi="Calibri" w:cs="Times New Roman"/>
              <w:b/>
              <w:color w:val="FFFFFF"/>
              <w:lang w:val="es-ES"/>
            </w:rPr>
            <w:t xml:space="preserve">V.17. No.2 (mayo-agosto) Año 2024, 4ta Etapa </w:t>
          </w:r>
        </w:p>
        <w:p w14:paraId="7BAFA025" w14:textId="26FFA73F" w:rsidR="00FD24E2" w:rsidRPr="00FD24E2" w:rsidRDefault="00FD24E2" w:rsidP="00FD24E2">
          <w:pPr>
            <w:spacing w:after="0" w:line="240" w:lineRule="auto"/>
            <w:jc w:val="center"/>
            <w:rPr>
              <w:rFonts w:ascii="Arial" w:eastAsia="Calibri" w:hAnsi="Arial" w:cs="Arial"/>
              <w:b/>
              <w:sz w:val="28"/>
              <w:szCs w:val="24"/>
            </w:rPr>
          </w:pPr>
          <w:proofErr w:type="spellStart"/>
          <w:r w:rsidRPr="00FD24E2">
            <w:rPr>
              <w:rFonts w:ascii="Calibri" w:eastAsia="Calibri" w:hAnsi="Calibri" w:cs="Times New Roman"/>
              <w:b/>
              <w:color w:val="FFFFFF"/>
            </w:rPr>
            <w:t>Págs</w:t>
          </w:r>
          <w:proofErr w:type="spellEnd"/>
          <w:r w:rsidRPr="00FD24E2">
            <w:rPr>
              <w:rFonts w:ascii="Calibri" w:eastAsia="Calibri" w:hAnsi="Calibri" w:cs="Times New Roman"/>
              <w:b/>
              <w:color w:val="FFFFFF"/>
            </w:rPr>
            <w:t xml:space="preserve">. </w:t>
          </w:r>
          <w:r w:rsidR="00116869">
            <w:rPr>
              <w:rFonts w:ascii="Calibri" w:eastAsia="Calibri" w:hAnsi="Calibri" w:cs="Times New Roman"/>
              <w:b/>
              <w:color w:val="FFFFFF"/>
            </w:rPr>
            <w:t>393-405</w:t>
          </w:r>
        </w:p>
      </w:tc>
    </w:tr>
  </w:tbl>
  <w:p w14:paraId="65BB19C5" w14:textId="77777777" w:rsidR="00093506" w:rsidRDefault="00093506">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93506"/>
    <w:rsid w:val="000C650E"/>
    <w:rsid w:val="00104E4C"/>
    <w:rsid w:val="0011127B"/>
    <w:rsid w:val="00116869"/>
    <w:rsid w:val="001214CF"/>
    <w:rsid w:val="001D6F32"/>
    <w:rsid w:val="00252676"/>
    <w:rsid w:val="0026601E"/>
    <w:rsid w:val="00272E69"/>
    <w:rsid w:val="0030595B"/>
    <w:rsid w:val="003265B2"/>
    <w:rsid w:val="00357ED7"/>
    <w:rsid w:val="003B1795"/>
    <w:rsid w:val="00407490"/>
    <w:rsid w:val="00424BC2"/>
    <w:rsid w:val="00441669"/>
    <w:rsid w:val="00441DC7"/>
    <w:rsid w:val="00452DDE"/>
    <w:rsid w:val="004619A0"/>
    <w:rsid w:val="004F31EE"/>
    <w:rsid w:val="004F66AB"/>
    <w:rsid w:val="00501F05"/>
    <w:rsid w:val="00531D56"/>
    <w:rsid w:val="00566528"/>
    <w:rsid w:val="005F4233"/>
    <w:rsid w:val="0063134D"/>
    <w:rsid w:val="0063565A"/>
    <w:rsid w:val="0067666A"/>
    <w:rsid w:val="006A6363"/>
    <w:rsid w:val="006B1383"/>
    <w:rsid w:val="006D41EF"/>
    <w:rsid w:val="007C1741"/>
    <w:rsid w:val="007F569F"/>
    <w:rsid w:val="00817109"/>
    <w:rsid w:val="00872E63"/>
    <w:rsid w:val="00887085"/>
    <w:rsid w:val="009331F7"/>
    <w:rsid w:val="00975652"/>
    <w:rsid w:val="009A5927"/>
    <w:rsid w:val="009A6FE9"/>
    <w:rsid w:val="00A41E4A"/>
    <w:rsid w:val="00A9287E"/>
    <w:rsid w:val="00B06158"/>
    <w:rsid w:val="00BF54BC"/>
    <w:rsid w:val="00C7085A"/>
    <w:rsid w:val="00CB0CC8"/>
    <w:rsid w:val="00CC5830"/>
    <w:rsid w:val="00CF0E6C"/>
    <w:rsid w:val="00D027A7"/>
    <w:rsid w:val="00D17D8F"/>
    <w:rsid w:val="00D87014"/>
    <w:rsid w:val="00EF19C5"/>
    <w:rsid w:val="00F3308E"/>
    <w:rsid w:val="00F716A5"/>
    <w:rsid w:val="00FA664B"/>
    <w:rsid w:val="00FD21CB"/>
    <w:rsid w:val="00FD24E2"/>
    <w:rsid w:val="00FD3781"/>
    <w:rsid w:val="00FE1BDE"/>
    <w:rsid w:val="092F3D18"/>
    <w:rsid w:val="094B71AA"/>
    <w:rsid w:val="0B38135D"/>
    <w:rsid w:val="0D1741EC"/>
    <w:rsid w:val="18E9481A"/>
    <w:rsid w:val="227D4FA9"/>
    <w:rsid w:val="27260676"/>
    <w:rsid w:val="27797198"/>
    <w:rsid w:val="2FEC00E5"/>
    <w:rsid w:val="329421C2"/>
    <w:rsid w:val="3A6371FD"/>
    <w:rsid w:val="3B7A2536"/>
    <w:rsid w:val="433A7B48"/>
    <w:rsid w:val="47B71162"/>
    <w:rsid w:val="4C9825C9"/>
    <w:rsid w:val="4D614280"/>
    <w:rsid w:val="554F11A0"/>
    <w:rsid w:val="5E8425FB"/>
    <w:rsid w:val="6020731C"/>
    <w:rsid w:val="652341F0"/>
    <w:rsid w:val="6AEA6FC2"/>
    <w:rsid w:val="786A240A"/>
    <w:rsid w:val="78A75C87"/>
    <w:rsid w:val="7CF6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5B35"/>
  <w15:docId w15:val="{E64A6DE3-7256-4361-8A6E-4C239EE0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Mencinsinresolver1">
    <w:name w:val="Mención sin resolver1"/>
    <w:basedOn w:val="Fuentedeprrafopredeter"/>
    <w:uiPriority w:val="99"/>
    <w:semiHidden/>
    <w:unhideWhenUsed/>
    <w:rsid w:val="006B1383"/>
    <w:rPr>
      <w:color w:val="605E5C"/>
      <w:shd w:val="clear" w:color="auto" w:fill="E1DFDD"/>
    </w:rPr>
  </w:style>
  <w:style w:type="character" w:styleId="Refdecomentario">
    <w:name w:val="annotation reference"/>
    <w:basedOn w:val="Fuentedeprrafopredeter"/>
    <w:uiPriority w:val="99"/>
    <w:semiHidden/>
    <w:unhideWhenUsed/>
    <w:rsid w:val="0011127B"/>
    <w:rPr>
      <w:sz w:val="16"/>
      <w:szCs w:val="16"/>
    </w:rPr>
  </w:style>
  <w:style w:type="paragraph" w:styleId="Textocomentario">
    <w:name w:val="annotation text"/>
    <w:basedOn w:val="Normal"/>
    <w:link w:val="TextocomentarioCar"/>
    <w:uiPriority w:val="99"/>
    <w:semiHidden/>
    <w:unhideWhenUsed/>
    <w:rsid w:val="001112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127B"/>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11127B"/>
    <w:rPr>
      <w:b/>
      <w:bCs/>
    </w:rPr>
  </w:style>
  <w:style w:type="character" w:customStyle="1" w:styleId="AsuntodelcomentarioCar">
    <w:name w:val="Asunto del comentario Car"/>
    <w:basedOn w:val="TextocomentarioCar"/>
    <w:link w:val="Asuntodelcomentario"/>
    <w:uiPriority w:val="99"/>
    <w:semiHidden/>
    <w:rsid w:val="0011127B"/>
    <w:rPr>
      <w:rFonts w:asciiTheme="minorHAnsi" w:eastAsiaTheme="minorHAnsi" w:hAnsiTheme="minorHAnsi" w:cstheme="minorBidi"/>
      <w:b/>
      <w:bCs/>
      <w:lang w:eastAsia="en-US"/>
    </w:rPr>
  </w:style>
  <w:style w:type="paragraph" w:styleId="Textodeglobo">
    <w:name w:val="Balloon Text"/>
    <w:basedOn w:val="Normal"/>
    <w:link w:val="TextodegloboCar"/>
    <w:uiPriority w:val="99"/>
    <w:semiHidden/>
    <w:unhideWhenUsed/>
    <w:rsid w:val="001112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127B"/>
    <w:rPr>
      <w:rFonts w:ascii="Segoe UI" w:eastAsiaTheme="minorHAnsi" w:hAnsi="Segoe UI" w:cs="Segoe UI"/>
      <w:sz w:val="18"/>
      <w:szCs w:val="18"/>
      <w:lang w:eastAsia="en-US"/>
    </w:rPr>
  </w:style>
  <w:style w:type="paragraph" w:styleId="Textonotapie">
    <w:name w:val="footnote text"/>
    <w:basedOn w:val="Normal"/>
    <w:link w:val="TextonotapieCar"/>
    <w:uiPriority w:val="99"/>
    <w:semiHidden/>
    <w:unhideWhenUsed/>
    <w:rsid w:val="00FA664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A664B"/>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FA664B"/>
    <w:rPr>
      <w:vertAlign w:val="superscript"/>
    </w:rPr>
  </w:style>
  <w:style w:type="table" w:customStyle="1" w:styleId="Tablaconcuadrcula1">
    <w:name w:val="Tabla con cuadrícula1"/>
    <w:basedOn w:val="Tablanormal"/>
    <w:next w:val="Tablaconcuadrcula"/>
    <w:uiPriority w:val="39"/>
    <w:rsid w:val="00FD24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1-7302-454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9-0003-8551-9433"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1446-6FFE-418E-8252-7201C212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13</Pages>
  <Words>3205</Words>
  <Characters>18269</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Enrique Orouri</cp:lastModifiedBy>
  <cp:revision>16</cp:revision>
  <cp:lastPrinted>2025-04-29T21:26:00Z</cp:lastPrinted>
  <dcterms:created xsi:type="dcterms:W3CDTF">2025-03-18T21:27:00Z</dcterms:created>
  <dcterms:modified xsi:type="dcterms:W3CDTF">2025-04-29T21:27:00Z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8BB1577EC3744104AEF6F353D5911492_12</vt:lpwstr>
  </property>
</Properties>
</file>