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BD3" w:rsidRPr="00CB3F88" w:rsidRDefault="00DD04DA" w:rsidP="00DD04DA">
      <w:pPr>
        <w:widowControl w:val="0"/>
        <w:spacing w:line="360" w:lineRule="auto"/>
        <w:jc w:val="center"/>
        <w:rPr>
          <w:rFonts w:ascii="Times New Roman" w:hAnsi="Times New Roman" w:cs="Times New Roman"/>
          <w:b/>
          <w:sz w:val="24"/>
          <w:szCs w:val="24"/>
        </w:rPr>
      </w:pPr>
      <w:r w:rsidRPr="00CB3F88">
        <w:rPr>
          <w:rFonts w:ascii="Times New Roman" w:hAnsi="Times New Roman" w:cs="Times New Roman"/>
          <w:b/>
          <w:sz w:val="24"/>
          <w:szCs w:val="24"/>
        </w:rPr>
        <w:t>La sexualidad con orientación a las familias de niños de la  infancia preescolar</w:t>
      </w:r>
    </w:p>
    <w:p w:rsidR="00CA3929" w:rsidRPr="00DD04DA" w:rsidRDefault="00DD04DA" w:rsidP="00DD04DA">
      <w:pPr>
        <w:widowControl w:val="0"/>
        <w:spacing w:line="360" w:lineRule="auto"/>
        <w:jc w:val="center"/>
        <w:rPr>
          <w:rFonts w:ascii="Times New Roman" w:hAnsi="Times New Roman" w:cs="Times New Roman"/>
          <w:sz w:val="24"/>
          <w:szCs w:val="24"/>
          <w:lang w:val="en-US"/>
        </w:rPr>
      </w:pPr>
      <w:r w:rsidRPr="00DD04DA">
        <w:rPr>
          <w:rFonts w:ascii="Times New Roman" w:hAnsi="Times New Roman" w:cs="Times New Roman"/>
          <w:sz w:val="24"/>
          <w:szCs w:val="24"/>
          <w:lang w:val="en-US"/>
        </w:rPr>
        <w:t>Sexuality with orientation to families of preschool children</w:t>
      </w:r>
    </w:p>
    <w:p w:rsidR="00531D56" w:rsidRPr="00DD04DA" w:rsidRDefault="00DD04DA" w:rsidP="00DD04DA">
      <w:pPr>
        <w:widowControl w:val="0"/>
        <w:spacing w:line="360" w:lineRule="auto"/>
        <w:jc w:val="right"/>
        <w:rPr>
          <w:rFonts w:ascii="Times New Roman" w:hAnsi="Times New Roman" w:cs="Times New Roman"/>
          <w:b/>
          <w:bCs/>
          <w:i/>
          <w:iCs/>
          <w:sz w:val="24"/>
          <w:szCs w:val="24"/>
        </w:rPr>
      </w:pPr>
      <w:r w:rsidRPr="00DD04DA">
        <w:rPr>
          <w:rFonts w:ascii="Times New Roman" w:hAnsi="Times New Roman" w:cs="Times New Roman"/>
          <w:b/>
          <w:bCs/>
          <w:i/>
          <w:iCs/>
          <w:sz w:val="24"/>
          <w:szCs w:val="24"/>
        </w:rPr>
        <w:t xml:space="preserve">Artículo de investigación </w:t>
      </w:r>
    </w:p>
    <w:p w:rsidR="00DD04DA" w:rsidRDefault="00A41E4A" w:rsidP="00DD04DA">
      <w:pPr>
        <w:widowControl w:val="0"/>
        <w:spacing w:line="360" w:lineRule="auto"/>
        <w:jc w:val="both"/>
        <w:rPr>
          <w:rFonts w:ascii="Times New Roman" w:hAnsi="Times New Roman" w:cs="Times New Roman"/>
          <w:b/>
          <w:sz w:val="24"/>
          <w:szCs w:val="24"/>
        </w:rPr>
      </w:pPr>
      <w:r w:rsidRPr="00CB3F88">
        <w:rPr>
          <w:rFonts w:ascii="Times New Roman" w:hAnsi="Times New Roman" w:cs="Times New Roman"/>
          <w:b/>
          <w:sz w:val="24"/>
          <w:szCs w:val="24"/>
        </w:rPr>
        <w:t>AUTOR (ES):</w:t>
      </w:r>
    </w:p>
    <w:p w:rsidR="00522D96" w:rsidRPr="007A0ED9" w:rsidRDefault="00247EFC" w:rsidP="006932E4">
      <w:pPr>
        <w:widowControl w:val="0"/>
        <w:spacing w:after="0" w:line="360" w:lineRule="auto"/>
        <w:jc w:val="both"/>
        <w:rPr>
          <w:rFonts w:ascii="Times New Roman" w:hAnsi="Times New Roman" w:cs="Times New Roman"/>
          <w:b/>
          <w:sz w:val="24"/>
          <w:szCs w:val="24"/>
        </w:rPr>
      </w:pPr>
      <w:r w:rsidRPr="007A0ED9">
        <w:rPr>
          <w:rFonts w:ascii="Times New Roman" w:hAnsi="Times New Roman" w:cs="Times New Roman"/>
          <w:sz w:val="24"/>
          <w:szCs w:val="24"/>
        </w:rPr>
        <w:t xml:space="preserve">M. Sc. </w:t>
      </w:r>
      <w:r w:rsidR="00DD04DA" w:rsidRPr="007A0ED9">
        <w:rPr>
          <w:rFonts w:ascii="Times New Roman" w:hAnsi="Times New Roman" w:cs="Times New Roman"/>
          <w:sz w:val="24"/>
          <w:szCs w:val="24"/>
        </w:rPr>
        <w:t xml:space="preserve">Madelys Rodríguez Nodal </w:t>
      </w:r>
      <w:r w:rsidR="00DD04DA" w:rsidRPr="007A0ED9">
        <w:rPr>
          <w:rStyle w:val="Refdenotaalpie"/>
          <w:rFonts w:ascii="Times New Roman" w:hAnsi="Times New Roman" w:cs="Times New Roman"/>
          <w:sz w:val="24"/>
          <w:szCs w:val="24"/>
        </w:rPr>
        <w:footnoteReference w:id="1"/>
      </w:r>
      <w:r w:rsidR="00522D96" w:rsidRPr="007A0ED9">
        <w:rPr>
          <w:rFonts w:ascii="Times New Roman" w:hAnsi="Times New Roman" w:cs="Times New Roman"/>
          <w:sz w:val="24"/>
          <w:szCs w:val="24"/>
        </w:rPr>
        <w:t xml:space="preserve"> </w:t>
      </w:r>
    </w:p>
    <w:p w:rsidR="00DD04DA" w:rsidRPr="007A0ED9" w:rsidRDefault="00DD04DA" w:rsidP="006932E4">
      <w:pPr>
        <w:widowControl w:val="0"/>
        <w:spacing w:after="0" w:line="360" w:lineRule="auto"/>
        <w:jc w:val="both"/>
        <w:rPr>
          <w:rFonts w:ascii="Times New Roman" w:hAnsi="Times New Roman" w:cs="Times New Roman"/>
          <w:i/>
          <w:sz w:val="24"/>
          <w:szCs w:val="24"/>
        </w:rPr>
      </w:pPr>
      <w:r w:rsidRPr="007A0ED9">
        <w:rPr>
          <w:rFonts w:ascii="Times New Roman" w:hAnsi="Times New Roman" w:cs="Times New Roman"/>
          <w:i/>
          <w:sz w:val="24"/>
          <w:szCs w:val="24"/>
        </w:rPr>
        <w:t>Correo:</w:t>
      </w:r>
      <w:r w:rsidRPr="007A0ED9">
        <w:rPr>
          <w:rFonts w:ascii="Times New Roman" w:hAnsi="Times New Roman" w:cs="Times New Roman"/>
        </w:rPr>
        <w:t xml:space="preserve"> </w:t>
      </w:r>
      <w:hyperlink r:id="rId8" w:history="1">
        <w:r w:rsidR="00321DFA" w:rsidRPr="007A0ED9">
          <w:rPr>
            <w:rStyle w:val="Hipervnculo"/>
            <w:rFonts w:ascii="Times New Roman" w:hAnsi="Times New Roman" w:cs="Times New Roman"/>
            <w:sz w:val="24"/>
            <w:szCs w:val="24"/>
          </w:rPr>
          <w:t>madelysrodrígueznoda@gmail.com</w:t>
        </w:r>
      </w:hyperlink>
    </w:p>
    <w:p w:rsidR="00FB0154" w:rsidRPr="007A0ED9" w:rsidRDefault="00DD04DA" w:rsidP="006932E4">
      <w:pPr>
        <w:widowControl w:val="0"/>
        <w:spacing w:after="0" w:line="360" w:lineRule="auto"/>
        <w:jc w:val="both"/>
        <w:rPr>
          <w:rFonts w:ascii="Times New Roman" w:hAnsi="Times New Roman" w:cs="Times New Roman"/>
          <w:i/>
          <w:sz w:val="24"/>
          <w:szCs w:val="24"/>
        </w:rPr>
      </w:pPr>
      <w:r w:rsidRPr="007A0ED9">
        <w:rPr>
          <w:rFonts w:ascii="Times New Roman" w:hAnsi="Times New Roman" w:cs="Times New Roman"/>
          <w:i/>
          <w:sz w:val="24"/>
          <w:szCs w:val="24"/>
        </w:rPr>
        <w:t xml:space="preserve">Orcid: </w:t>
      </w:r>
      <w:r w:rsidR="00FE6E3A" w:rsidRPr="007A0ED9">
        <w:rPr>
          <w:rFonts w:ascii="Times New Roman" w:hAnsi="Times New Roman" w:cs="Times New Roman"/>
          <w:i/>
          <w:sz w:val="24"/>
          <w:szCs w:val="24"/>
        </w:rPr>
        <w:fldChar w:fldCharType="begin"/>
      </w:r>
      <w:r w:rsidR="00FB0154" w:rsidRPr="007A0ED9">
        <w:rPr>
          <w:rFonts w:ascii="Times New Roman" w:hAnsi="Times New Roman" w:cs="Times New Roman"/>
          <w:i/>
          <w:sz w:val="24"/>
          <w:szCs w:val="24"/>
        </w:rPr>
        <w:instrText xml:space="preserve"> HYPERLINK "https://orcid.org/0000-0002-6870-4309 </w:instrText>
      </w:r>
    </w:p>
    <w:p w:rsidR="00FB0154" w:rsidRPr="007A0ED9" w:rsidRDefault="00FB0154" w:rsidP="006932E4">
      <w:pPr>
        <w:spacing w:after="0" w:line="360" w:lineRule="auto"/>
        <w:jc w:val="both"/>
        <w:rPr>
          <w:rStyle w:val="Hipervnculo"/>
          <w:rFonts w:ascii="Times New Roman" w:hAnsi="Times New Roman" w:cs="Times New Roman"/>
          <w:i/>
          <w:sz w:val="24"/>
          <w:szCs w:val="24"/>
        </w:rPr>
      </w:pPr>
      <w:r w:rsidRPr="007A0ED9">
        <w:rPr>
          <w:rFonts w:ascii="Times New Roman" w:hAnsi="Times New Roman" w:cs="Times New Roman"/>
          <w:i/>
          <w:sz w:val="24"/>
          <w:szCs w:val="24"/>
        </w:rPr>
        <w:instrText xml:space="preserve">" </w:instrText>
      </w:r>
      <w:r w:rsidR="00FE6E3A" w:rsidRPr="007A0ED9">
        <w:rPr>
          <w:rFonts w:ascii="Times New Roman" w:hAnsi="Times New Roman" w:cs="Times New Roman"/>
          <w:i/>
          <w:sz w:val="24"/>
          <w:szCs w:val="24"/>
        </w:rPr>
        <w:fldChar w:fldCharType="separate"/>
      </w:r>
      <w:r w:rsidRPr="007A0ED9">
        <w:rPr>
          <w:rStyle w:val="Hipervnculo"/>
          <w:rFonts w:ascii="Times New Roman" w:hAnsi="Times New Roman" w:cs="Times New Roman"/>
          <w:i/>
          <w:sz w:val="24"/>
          <w:szCs w:val="24"/>
        </w:rPr>
        <w:t xml:space="preserve">https://orcid.org/0000-0002-6870-4309 </w:t>
      </w:r>
    </w:p>
    <w:p w:rsidR="00FE1BDE" w:rsidRPr="001B12B5" w:rsidRDefault="00FE6E3A" w:rsidP="006932E4">
      <w:pPr>
        <w:widowControl w:val="0"/>
        <w:spacing w:after="240" w:line="360" w:lineRule="auto"/>
        <w:jc w:val="both"/>
        <w:rPr>
          <w:rFonts w:ascii="Times New Roman" w:hAnsi="Times New Roman" w:cs="Times New Roman"/>
          <w:sz w:val="24"/>
          <w:szCs w:val="24"/>
        </w:rPr>
      </w:pPr>
      <w:r w:rsidRPr="007A0ED9">
        <w:rPr>
          <w:rFonts w:ascii="Times New Roman" w:hAnsi="Times New Roman" w:cs="Times New Roman"/>
          <w:i/>
          <w:sz w:val="24"/>
          <w:szCs w:val="24"/>
        </w:rPr>
        <w:fldChar w:fldCharType="end"/>
      </w:r>
      <w:r w:rsidR="001B12B5" w:rsidRPr="001B12B5">
        <w:rPr>
          <w:rFonts w:ascii="Times New Roman" w:hAnsi="Times New Roman" w:cs="Times New Roman"/>
          <w:sz w:val="24"/>
          <w:szCs w:val="24"/>
        </w:rPr>
        <w:t xml:space="preserve">Departamento de primera infancia </w:t>
      </w:r>
      <w:r w:rsidR="00247EFC" w:rsidRPr="007A0ED9">
        <w:rPr>
          <w:rFonts w:ascii="Times New Roman" w:hAnsi="Times New Roman" w:cs="Times New Roman"/>
          <w:sz w:val="24"/>
          <w:szCs w:val="24"/>
        </w:rPr>
        <w:t>Dirección General de Educación. Sancti Spíritus. Cuba</w:t>
      </w:r>
      <w:r w:rsidR="007A0ED9">
        <w:rPr>
          <w:rFonts w:ascii="Times New Roman" w:hAnsi="Times New Roman" w:cs="Times New Roman"/>
          <w:sz w:val="24"/>
          <w:szCs w:val="24"/>
        </w:rPr>
        <w:t xml:space="preserve">. </w:t>
      </w:r>
    </w:p>
    <w:p w:rsidR="00FB0154" w:rsidRPr="007A0ED9" w:rsidRDefault="00247EFC" w:rsidP="00DD04DA">
      <w:pPr>
        <w:widowControl w:val="0"/>
        <w:spacing w:after="0" w:line="360" w:lineRule="auto"/>
        <w:jc w:val="both"/>
        <w:rPr>
          <w:rFonts w:ascii="Times New Roman" w:hAnsi="Times New Roman" w:cs="Times New Roman"/>
          <w:sz w:val="24"/>
          <w:szCs w:val="24"/>
        </w:rPr>
      </w:pPr>
      <w:r w:rsidRPr="007A0ED9">
        <w:rPr>
          <w:rFonts w:ascii="Times New Roman" w:hAnsi="Times New Roman" w:cs="Times New Roman"/>
          <w:sz w:val="24"/>
          <w:szCs w:val="24"/>
        </w:rPr>
        <w:t xml:space="preserve">M. Sc. </w:t>
      </w:r>
      <w:r w:rsidR="00DD04DA" w:rsidRPr="007A0ED9">
        <w:rPr>
          <w:rFonts w:ascii="Times New Roman" w:hAnsi="Times New Roman" w:cs="Times New Roman"/>
          <w:sz w:val="24"/>
          <w:szCs w:val="24"/>
        </w:rPr>
        <w:t>Manuel Ernesto Horta Sánchez</w:t>
      </w:r>
      <w:r w:rsidR="00DD04DA" w:rsidRPr="007A0ED9">
        <w:rPr>
          <w:rStyle w:val="Refdenotaalpie"/>
          <w:rFonts w:ascii="Times New Roman" w:hAnsi="Times New Roman" w:cs="Times New Roman"/>
          <w:sz w:val="24"/>
          <w:szCs w:val="24"/>
        </w:rPr>
        <w:footnoteReference w:id="2"/>
      </w:r>
    </w:p>
    <w:p w:rsidR="00FB0154" w:rsidRPr="007A0ED9" w:rsidRDefault="00DD04DA" w:rsidP="00DD04DA">
      <w:pPr>
        <w:widowControl w:val="0"/>
        <w:spacing w:after="0" w:line="360" w:lineRule="auto"/>
        <w:jc w:val="both"/>
        <w:rPr>
          <w:rFonts w:ascii="Times New Roman" w:hAnsi="Times New Roman" w:cs="Times New Roman"/>
          <w:sz w:val="24"/>
          <w:szCs w:val="24"/>
        </w:rPr>
      </w:pPr>
      <w:r w:rsidRPr="007A0ED9">
        <w:rPr>
          <w:rFonts w:ascii="Times New Roman" w:hAnsi="Times New Roman" w:cs="Times New Roman"/>
          <w:i/>
          <w:sz w:val="24"/>
          <w:szCs w:val="24"/>
        </w:rPr>
        <w:t>Correo:</w:t>
      </w:r>
      <w:r w:rsidRPr="007A0ED9">
        <w:rPr>
          <w:rFonts w:ascii="Times New Roman" w:hAnsi="Times New Roman" w:cs="Times New Roman"/>
          <w:sz w:val="24"/>
          <w:szCs w:val="24"/>
        </w:rPr>
        <w:t xml:space="preserve"> </w:t>
      </w:r>
      <w:hyperlink r:id="rId9" w:history="1">
        <w:r w:rsidR="00FB0154" w:rsidRPr="007A0ED9">
          <w:rPr>
            <w:rFonts w:ascii="Times New Roman" w:hAnsi="Times New Roman" w:cs="Times New Roman"/>
            <w:sz w:val="24"/>
            <w:szCs w:val="24"/>
          </w:rPr>
          <w:t>mhorta@uniss.edu</w:t>
        </w:r>
      </w:hyperlink>
      <w:r w:rsidRPr="007A0ED9">
        <w:rPr>
          <w:rFonts w:ascii="Times New Roman" w:hAnsi="Times New Roman" w:cs="Times New Roman"/>
          <w:sz w:val="24"/>
          <w:szCs w:val="24"/>
        </w:rPr>
        <w:t xml:space="preserve">  </w:t>
      </w:r>
    </w:p>
    <w:p w:rsidR="00A75AF0" w:rsidRPr="007A0ED9" w:rsidRDefault="00DD04DA" w:rsidP="00DD04DA">
      <w:pPr>
        <w:widowControl w:val="0"/>
        <w:spacing w:after="0" w:line="360" w:lineRule="auto"/>
        <w:jc w:val="both"/>
        <w:rPr>
          <w:rFonts w:ascii="Times New Roman" w:hAnsi="Times New Roman" w:cs="Times New Roman"/>
          <w:sz w:val="24"/>
          <w:szCs w:val="24"/>
        </w:rPr>
      </w:pPr>
      <w:r w:rsidRPr="007A0ED9">
        <w:rPr>
          <w:rFonts w:ascii="Times New Roman" w:hAnsi="Times New Roman" w:cs="Times New Roman"/>
          <w:i/>
          <w:sz w:val="24"/>
          <w:szCs w:val="24"/>
        </w:rPr>
        <w:t>Orcid:</w:t>
      </w:r>
      <w:r w:rsidRPr="007A0ED9">
        <w:rPr>
          <w:rFonts w:ascii="Times New Roman" w:hAnsi="Times New Roman" w:cs="Times New Roman"/>
          <w:sz w:val="24"/>
          <w:szCs w:val="24"/>
        </w:rPr>
        <w:t xml:space="preserve"> </w:t>
      </w:r>
      <w:hyperlink r:id="rId10" w:history="1">
        <w:r w:rsidR="00A75AF0" w:rsidRPr="007A0ED9">
          <w:rPr>
            <w:rFonts w:ascii="Times New Roman" w:hAnsi="Times New Roman" w:cs="Times New Roman"/>
            <w:sz w:val="24"/>
            <w:szCs w:val="24"/>
          </w:rPr>
          <w:t>https://orcid.org/0000-0003-0668-9788</w:t>
        </w:r>
      </w:hyperlink>
    </w:p>
    <w:p w:rsidR="00FE1BDE" w:rsidRPr="007A0ED9" w:rsidRDefault="001B12B5" w:rsidP="00DD04D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Departamento de Formación pedagógica general. </w:t>
      </w:r>
      <w:r w:rsidR="00247EFC" w:rsidRPr="007A0ED9">
        <w:rPr>
          <w:rFonts w:ascii="Times New Roman" w:hAnsi="Times New Roman" w:cs="Times New Roman"/>
          <w:sz w:val="24"/>
          <w:szCs w:val="24"/>
        </w:rPr>
        <w:t>Universidad de Sancti Spíritus “José Martí”, Cuba</w:t>
      </w:r>
      <w:r w:rsidR="0077080B" w:rsidRPr="007A0ED9">
        <w:rPr>
          <w:rFonts w:ascii="Times New Roman" w:hAnsi="Times New Roman" w:cs="Times New Roman"/>
          <w:sz w:val="24"/>
          <w:szCs w:val="24"/>
        </w:rPr>
        <w:t xml:space="preserve"> (UNISS)</w:t>
      </w:r>
      <w:r w:rsidR="007A0ED9">
        <w:rPr>
          <w:rFonts w:ascii="Times New Roman" w:hAnsi="Times New Roman" w:cs="Times New Roman"/>
          <w:sz w:val="24"/>
          <w:szCs w:val="24"/>
        </w:rPr>
        <w:t xml:space="preserve">. </w:t>
      </w:r>
    </w:p>
    <w:p w:rsidR="00F83ABF" w:rsidRPr="00CB3F88" w:rsidRDefault="00F83ABF" w:rsidP="00CB3F88">
      <w:pPr>
        <w:widowControl w:val="0"/>
        <w:spacing w:after="240" w:line="360" w:lineRule="auto"/>
        <w:ind w:left="426"/>
        <w:jc w:val="both"/>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CB3F88" w:rsidTr="00CF0E6C">
        <w:tc>
          <w:tcPr>
            <w:tcW w:w="2942" w:type="dxa"/>
            <w:shd w:val="clear" w:color="auto" w:fill="00B0F0"/>
          </w:tcPr>
          <w:p w:rsidR="00FE1BDE" w:rsidRPr="00CB3F88" w:rsidRDefault="00FE1BDE" w:rsidP="00CB3F88">
            <w:pPr>
              <w:widowControl w:val="0"/>
              <w:spacing w:line="360" w:lineRule="auto"/>
              <w:jc w:val="both"/>
              <w:rPr>
                <w:rFonts w:ascii="Times New Roman" w:hAnsi="Times New Roman" w:cs="Times New Roman"/>
                <w:b/>
                <w:sz w:val="24"/>
                <w:szCs w:val="24"/>
              </w:rPr>
            </w:pPr>
            <w:r w:rsidRPr="00CB3F88">
              <w:rPr>
                <w:rFonts w:ascii="Times New Roman" w:hAnsi="Times New Roman" w:cs="Times New Roman"/>
                <w:b/>
                <w:sz w:val="24"/>
                <w:szCs w:val="24"/>
              </w:rPr>
              <w:t>Recibido</w:t>
            </w:r>
          </w:p>
        </w:tc>
        <w:tc>
          <w:tcPr>
            <w:tcW w:w="2943" w:type="dxa"/>
            <w:shd w:val="clear" w:color="auto" w:fill="00B0F0"/>
          </w:tcPr>
          <w:p w:rsidR="00FE1BDE" w:rsidRPr="00CB3F88" w:rsidRDefault="00FE1BDE" w:rsidP="00CB3F88">
            <w:pPr>
              <w:widowControl w:val="0"/>
              <w:spacing w:line="360" w:lineRule="auto"/>
              <w:jc w:val="both"/>
              <w:rPr>
                <w:rFonts w:ascii="Times New Roman" w:hAnsi="Times New Roman" w:cs="Times New Roman"/>
                <w:b/>
                <w:sz w:val="24"/>
                <w:szCs w:val="24"/>
              </w:rPr>
            </w:pPr>
            <w:r w:rsidRPr="00CB3F88">
              <w:rPr>
                <w:rFonts w:ascii="Times New Roman" w:hAnsi="Times New Roman" w:cs="Times New Roman"/>
                <w:b/>
                <w:sz w:val="24"/>
                <w:szCs w:val="24"/>
              </w:rPr>
              <w:t>Aprobado</w:t>
            </w:r>
          </w:p>
        </w:tc>
        <w:tc>
          <w:tcPr>
            <w:tcW w:w="2943" w:type="dxa"/>
            <w:shd w:val="clear" w:color="auto" w:fill="00B0F0"/>
          </w:tcPr>
          <w:p w:rsidR="00FE1BDE" w:rsidRPr="00CB3F88" w:rsidRDefault="00FE1BDE" w:rsidP="00CB3F88">
            <w:pPr>
              <w:widowControl w:val="0"/>
              <w:spacing w:line="360" w:lineRule="auto"/>
              <w:jc w:val="both"/>
              <w:rPr>
                <w:rFonts w:ascii="Times New Roman" w:hAnsi="Times New Roman" w:cs="Times New Roman"/>
                <w:b/>
                <w:sz w:val="24"/>
                <w:szCs w:val="24"/>
              </w:rPr>
            </w:pPr>
            <w:r w:rsidRPr="00CB3F88">
              <w:rPr>
                <w:rFonts w:ascii="Times New Roman" w:hAnsi="Times New Roman" w:cs="Times New Roman"/>
                <w:b/>
                <w:sz w:val="24"/>
                <w:szCs w:val="24"/>
              </w:rPr>
              <w:t>Publicado</w:t>
            </w:r>
          </w:p>
        </w:tc>
      </w:tr>
      <w:tr w:rsidR="00FE1BDE" w:rsidRPr="00CB3F88" w:rsidTr="00FE1BDE">
        <w:tc>
          <w:tcPr>
            <w:tcW w:w="2942" w:type="dxa"/>
          </w:tcPr>
          <w:p w:rsidR="00FE1BDE" w:rsidRPr="00CB3F88" w:rsidRDefault="00DD04DA" w:rsidP="00CB3F8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23 de septiembre de 2024</w:t>
            </w:r>
          </w:p>
        </w:tc>
        <w:tc>
          <w:tcPr>
            <w:tcW w:w="2943" w:type="dxa"/>
          </w:tcPr>
          <w:p w:rsidR="00FE1BDE" w:rsidRPr="00CB3F88" w:rsidRDefault="00DD04DA" w:rsidP="00CB3F8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de diciembre de 2024 </w:t>
            </w:r>
          </w:p>
        </w:tc>
        <w:tc>
          <w:tcPr>
            <w:tcW w:w="2943" w:type="dxa"/>
          </w:tcPr>
          <w:p w:rsidR="00FE1BDE" w:rsidRPr="00CB3F88" w:rsidRDefault="00DD04DA" w:rsidP="00CB3F8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 de enero de 2025</w:t>
            </w:r>
          </w:p>
        </w:tc>
      </w:tr>
    </w:tbl>
    <w:p w:rsidR="00FE1BDE" w:rsidRPr="00CB3F88" w:rsidRDefault="00FE1BDE" w:rsidP="00CB3F88">
      <w:pPr>
        <w:widowControl w:val="0"/>
        <w:spacing w:line="360" w:lineRule="auto"/>
        <w:jc w:val="both"/>
        <w:rPr>
          <w:rFonts w:ascii="Times New Roman" w:hAnsi="Times New Roman" w:cs="Times New Roman"/>
          <w:sz w:val="24"/>
          <w:szCs w:val="24"/>
        </w:rPr>
      </w:pPr>
    </w:p>
    <w:p w:rsidR="007557D1" w:rsidRPr="00CB3F88" w:rsidRDefault="007557D1" w:rsidP="00CB3F88">
      <w:pPr>
        <w:widowControl w:val="0"/>
        <w:pBdr>
          <w:top w:val="nil"/>
          <w:left w:val="nil"/>
          <w:bottom w:val="nil"/>
          <w:right w:val="nil"/>
          <w:between w:val="nil"/>
        </w:pBdr>
        <w:spacing w:after="0" w:line="360" w:lineRule="auto"/>
        <w:ind w:right="170"/>
        <w:jc w:val="both"/>
        <w:rPr>
          <w:rFonts w:ascii="Times New Roman" w:eastAsia="Arial" w:hAnsi="Times New Roman" w:cs="Times New Roman"/>
          <w:b/>
          <w:color w:val="000000"/>
          <w:sz w:val="24"/>
          <w:szCs w:val="24"/>
        </w:rPr>
      </w:pPr>
      <w:r w:rsidRPr="00CB3F88">
        <w:rPr>
          <w:rFonts w:ascii="Times New Roman" w:eastAsia="Arial" w:hAnsi="Times New Roman" w:cs="Times New Roman"/>
          <w:b/>
          <w:color w:val="000000"/>
          <w:sz w:val="24"/>
          <w:szCs w:val="24"/>
        </w:rPr>
        <w:t>Resumen</w:t>
      </w:r>
    </w:p>
    <w:p w:rsidR="00414C07" w:rsidRPr="00CB3F88" w:rsidRDefault="007557D1" w:rsidP="00CB3F88">
      <w:pPr>
        <w:spacing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 xml:space="preserve">Constituye la orientación un proceso de ayuda o asistencia para promover el desarrollo de mecanismos personológicos a través de la reflexión, sensibilización y la implicación de las </w:t>
      </w:r>
      <w:r w:rsidRPr="00CB3F88">
        <w:rPr>
          <w:rFonts w:ascii="Times New Roman" w:eastAsia="Arial" w:hAnsi="Times New Roman" w:cs="Times New Roman"/>
          <w:sz w:val="24"/>
          <w:szCs w:val="24"/>
        </w:rPr>
        <w:lastRenderedPageBreak/>
        <w:t xml:space="preserve">familias, para una mejor conducción de la sexualidad con enfoque de </w:t>
      </w:r>
      <w:r w:rsidR="007427F2" w:rsidRPr="00CB3F88">
        <w:rPr>
          <w:rFonts w:ascii="Times New Roman" w:eastAsia="Arial" w:hAnsi="Times New Roman" w:cs="Times New Roman"/>
          <w:sz w:val="24"/>
          <w:szCs w:val="24"/>
        </w:rPr>
        <w:t>género.</w:t>
      </w:r>
      <w:r w:rsidR="00DD04DA">
        <w:rPr>
          <w:rFonts w:ascii="Times New Roman" w:eastAsia="Arial" w:hAnsi="Times New Roman" w:cs="Times New Roman"/>
          <w:sz w:val="24"/>
          <w:szCs w:val="24"/>
        </w:rPr>
        <w:t xml:space="preserve"> </w:t>
      </w:r>
      <w:r w:rsidR="00DD04DA" w:rsidRPr="00DD04DA">
        <w:rPr>
          <w:rFonts w:ascii="Times New Roman" w:eastAsia="Arial" w:hAnsi="Times New Roman" w:cs="Times New Roman"/>
          <w:sz w:val="24"/>
          <w:szCs w:val="24"/>
        </w:rPr>
        <w:t>Se propone</w:t>
      </w:r>
      <w:r w:rsidR="00DD04DA">
        <w:rPr>
          <w:rFonts w:ascii="Times New Roman" w:eastAsia="Arial" w:hAnsi="Times New Roman" w:cs="Times New Roman"/>
          <w:b/>
          <w:sz w:val="24"/>
          <w:szCs w:val="24"/>
        </w:rPr>
        <w:t xml:space="preserve"> </w:t>
      </w:r>
      <w:r w:rsidR="00DD04DA" w:rsidRPr="00DD04DA">
        <w:rPr>
          <w:rFonts w:ascii="Times New Roman" w:eastAsia="Arial" w:hAnsi="Times New Roman" w:cs="Times New Roman"/>
          <w:sz w:val="24"/>
          <w:szCs w:val="24"/>
        </w:rPr>
        <w:t>elaborar</w:t>
      </w:r>
      <w:r w:rsidR="00DD04DA">
        <w:rPr>
          <w:rFonts w:ascii="Times New Roman" w:eastAsia="Calibri" w:hAnsi="Times New Roman" w:cs="Times New Roman"/>
          <w:sz w:val="24"/>
          <w:szCs w:val="24"/>
          <w:lang w:val="es-MX"/>
        </w:rPr>
        <w:t xml:space="preserve"> </w:t>
      </w:r>
      <w:r w:rsidRPr="00CB3F88">
        <w:rPr>
          <w:rFonts w:ascii="Times New Roman" w:eastAsia="Calibri" w:hAnsi="Times New Roman" w:cs="Times New Roman"/>
          <w:sz w:val="24"/>
          <w:szCs w:val="24"/>
          <w:lang w:val="es-MX"/>
        </w:rPr>
        <w:t>una estrategia educativa por la necesidad de que las familias estén correctamente orientadas para ejercer esa labor educativa, vis</w:t>
      </w:r>
      <w:r w:rsidR="00DD04DA">
        <w:rPr>
          <w:rFonts w:ascii="Times New Roman" w:eastAsia="Calibri" w:hAnsi="Times New Roman" w:cs="Times New Roman"/>
          <w:sz w:val="24"/>
          <w:szCs w:val="24"/>
          <w:lang w:val="es-MX"/>
        </w:rPr>
        <w:t xml:space="preserve">ta como trabajo de orientación  </w:t>
      </w:r>
      <w:r w:rsidRPr="00CB3F88">
        <w:rPr>
          <w:rFonts w:ascii="Times New Roman" w:eastAsia="Calibri" w:hAnsi="Times New Roman" w:cs="Times New Roman"/>
          <w:sz w:val="24"/>
          <w:szCs w:val="24"/>
          <w:lang w:val="es-MX"/>
        </w:rPr>
        <w:t>sistémica y sistemática, con un claro enfoque integrador</w:t>
      </w:r>
      <w:r w:rsidR="00DD04DA">
        <w:rPr>
          <w:rFonts w:ascii="Times New Roman" w:eastAsia="Calibri" w:hAnsi="Times New Roman" w:cs="Times New Roman"/>
          <w:sz w:val="24"/>
          <w:szCs w:val="24"/>
          <w:lang w:val="es-MX"/>
        </w:rPr>
        <w:t xml:space="preserve">. </w:t>
      </w:r>
      <w:r w:rsidRPr="00CB3F88">
        <w:rPr>
          <w:rFonts w:ascii="Times New Roman" w:eastAsia="Arial" w:hAnsi="Times New Roman" w:cs="Times New Roman"/>
          <w:sz w:val="24"/>
          <w:szCs w:val="24"/>
        </w:rPr>
        <w:t>Se siguió una estrategia investigativa de tipo predominantemente cuantitativa, de nivel explicativo, aplicándose diferentes métodos del nivel teórico, empírico, matemáticos y/o estadísticos.</w:t>
      </w:r>
      <w:r w:rsidR="00DD04DA">
        <w:rPr>
          <w:rFonts w:ascii="Times New Roman" w:eastAsia="Arial" w:hAnsi="Times New Roman" w:cs="Times New Roman"/>
          <w:sz w:val="24"/>
          <w:szCs w:val="24"/>
        </w:rPr>
        <w:t xml:space="preserve">  </w:t>
      </w:r>
      <w:r w:rsidR="000446EA" w:rsidRPr="00CB3F88">
        <w:rPr>
          <w:rFonts w:ascii="Times New Roman" w:eastAsia="Arial" w:hAnsi="Times New Roman" w:cs="Times New Roman"/>
          <w:sz w:val="24"/>
          <w:szCs w:val="24"/>
        </w:rPr>
        <w:t>Las acciones establecidas s</w:t>
      </w:r>
      <w:r w:rsidRPr="00CB3F88">
        <w:rPr>
          <w:rFonts w:ascii="Times New Roman" w:eastAsia="Arial" w:hAnsi="Times New Roman" w:cs="Times New Roman"/>
          <w:sz w:val="24"/>
          <w:szCs w:val="24"/>
        </w:rPr>
        <w:t>e destacan en cada una de las etapas de la estrategia educativa como elemento de cambio dentro del resultado científico.</w:t>
      </w:r>
      <w:r w:rsidR="00DD04DA">
        <w:rPr>
          <w:rFonts w:ascii="Times New Roman" w:eastAsia="Arial" w:hAnsi="Times New Roman" w:cs="Times New Roman"/>
          <w:sz w:val="24"/>
          <w:szCs w:val="24"/>
        </w:rPr>
        <w:t xml:space="preserve"> </w:t>
      </w:r>
      <w:r w:rsidR="004C5620" w:rsidRPr="00CB3F88">
        <w:rPr>
          <w:rFonts w:ascii="Times New Roman" w:eastAsia="Arial" w:hAnsi="Times New Roman" w:cs="Times New Roman"/>
          <w:sz w:val="24"/>
          <w:szCs w:val="24"/>
        </w:rPr>
        <w:t xml:space="preserve">La validez, calidad y pertinencia de la estrategia educativa fue corroborada a través del método criterio de expertos, teniendo en cuenta las sugerencias aportadas por estos. El preexperimento posibilitó la evaluación del nivel de orientación de las familias de los niños de la infancia preescolar para el desarrollo de la sexualidad con enfoque de género en el Círculo </w:t>
      </w:r>
      <w:r w:rsidR="00DD04DA">
        <w:rPr>
          <w:rFonts w:ascii="Times New Roman" w:eastAsia="Arial" w:hAnsi="Times New Roman" w:cs="Times New Roman"/>
          <w:sz w:val="24"/>
          <w:szCs w:val="24"/>
        </w:rPr>
        <w:t xml:space="preserve">Infantil “Pequeños Camaradas”. </w:t>
      </w:r>
    </w:p>
    <w:p w:rsidR="00B34B73" w:rsidRPr="00CB3F88" w:rsidRDefault="00CB0CC8" w:rsidP="00CB3F88">
      <w:pPr>
        <w:widowControl w:val="0"/>
        <w:spacing w:line="360" w:lineRule="auto"/>
        <w:jc w:val="both"/>
        <w:rPr>
          <w:rFonts w:ascii="Times New Roman" w:eastAsia="Calibri" w:hAnsi="Times New Roman" w:cs="Times New Roman"/>
          <w:iCs/>
          <w:sz w:val="24"/>
          <w:szCs w:val="24"/>
          <w:lang w:val="es-MX"/>
        </w:rPr>
      </w:pPr>
      <w:r w:rsidRPr="00CB3F88">
        <w:rPr>
          <w:rFonts w:ascii="Times New Roman" w:eastAsia="Calibri" w:hAnsi="Times New Roman" w:cs="Times New Roman"/>
          <w:bCs/>
          <w:i/>
          <w:color w:val="000000"/>
          <w:sz w:val="24"/>
          <w:szCs w:val="24"/>
          <w:lang w:val="es-MX"/>
        </w:rPr>
        <w:t>Palabras clave</w:t>
      </w:r>
      <w:r w:rsidR="00FE1BDE" w:rsidRPr="00CB3F88">
        <w:rPr>
          <w:rFonts w:ascii="Times New Roman" w:eastAsia="Calibri" w:hAnsi="Times New Roman" w:cs="Times New Roman"/>
          <w:bCs/>
          <w:i/>
          <w:color w:val="000000"/>
          <w:sz w:val="24"/>
          <w:szCs w:val="24"/>
          <w:lang w:val="es-MX"/>
        </w:rPr>
        <w:t>:</w:t>
      </w:r>
      <w:r w:rsidR="00DD04DA">
        <w:rPr>
          <w:rFonts w:ascii="Times New Roman" w:eastAsia="Calibri" w:hAnsi="Times New Roman" w:cs="Times New Roman"/>
          <w:bCs/>
          <w:i/>
          <w:color w:val="000000"/>
          <w:sz w:val="24"/>
          <w:szCs w:val="24"/>
          <w:lang w:val="es-MX"/>
        </w:rPr>
        <w:t xml:space="preserve"> </w:t>
      </w:r>
      <w:r w:rsidR="008D3285" w:rsidRPr="00CB3F88">
        <w:rPr>
          <w:rFonts w:ascii="Times New Roman" w:eastAsia="Calibri" w:hAnsi="Times New Roman" w:cs="Times New Roman"/>
          <w:iCs/>
          <w:sz w:val="24"/>
          <w:szCs w:val="24"/>
          <w:lang w:val="es-MX"/>
        </w:rPr>
        <w:t>Primera infancia, Sexualidad, Familia</w:t>
      </w:r>
      <w:r w:rsidR="009105D0" w:rsidRPr="00CB3F88">
        <w:rPr>
          <w:rFonts w:ascii="Times New Roman" w:eastAsia="Calibri" w:hAnsi="Times New Roman" w:cs="Times New Roman"/>
          <w:iCs/>
          <w:sz w:val="24"/>
          <w:szCs w:val="24"/>
          <w:lang w:val="es-MX"/>
        </w:rPr>
        <w:t>s</w:t>
      </w:r>
      <w:r w:rsidR="008D3285" w:rsidRPr="00CB3F88">
        <w:rPr>
          <w:rFonts w:ascii="Times New Roman" w:eastAsia="Calibri" w:hAnsi="Times New Roman" w:cs="Times New Roman"/>
          <w:iCs/>
          <w:sz w:val="24"/>
          <w:szCs w:val="24"/>
          <w:lang w:val="es-MX"/>
        </w:rPr>
        <w:t>, Orientación, Estrategia educativa.</w:t>
      </w:r>
    </w:p>
    <w:p w:rsidR="00DF4FE3" w:rsidRPr="00CB3F88" w:rsidRDefault="00DF4FE3" w:rsidP="00CB3F88">
      <w:pPr>
        <w:widowControl w:val="0"/>
        <w:pBdr>
          <w:top w:val="nil"/>
          <w:left w:val="nil"/>
          <w:bottom w:val="nil"/>
          <w:right w:val="nil"/>
          <w:between w:val="nil"/>
        </w:pBdr>
        <w:spacing w:after="0" w:line="360" w:lineRule="auto"/>
        <w:ind w:right="170"/>
        <w:jc w:val="both"/>
        <w:rPr>
          <w:rFonts w:ascii="Times New Roman" w:eastAsia="Arial" w:hAnsi="Times New Roman" w:cs="Times New Roman"/>
          <w:b/>
          <w:color w:val="000000"/>
          <w:sz w:val="24"/>
          <w:szCs w:val="24"/>
          <w:lang w:val="en-US"/>
        </w:rPr>
      </w:pPr>
      <w:r w:rsidRPr="00DD04DA">
        <w:rPr>
          <w:rFonts w:ascii="Times New Roman" w:eastAsia="Arial" w:hAnsi="Times New Roman" w:cs="Times New Roman"/>
          <w:b/>
          <w:color w:val="000000"/>
          <w:sz w:val="24"/>
          <w:szCs w:val="24"/>
          <w:highlight w:val="yellow"/>
          <w:lang w:val="en-US"/>
        </w:rPr>
        <w:t>ABSTRACT</w:t>
      </w:r>
    </w:p>
    <w:p w:rsidR="00C10405" w:rsidRPr="00CB3F88" w:rsidRDefault="00C10405" w:rsidP="00CB3F88">
      <w:pPr>
        <w:widowControl w:val="0"/>
        <w:spacing w:line="360" w:lineRule="auto"/>
        <w:jc w:val="both"/>
        <w:rPr>
          <w:rFonts w:ascii="Times New Roman" w:eastAsia="Calibri" w:hAnsi="Times New Roman" w:cs="Times New Roman"/>
          <w:b/>
          <w:sz w:val="24"/>
          <w:szCs w:val="24"/>
          <w:lang w:val="en-US"/>
        </w:rPr>
      </w:pPr>
      <w:r w:rsidRPr="00DD04DA">
        <w:rPr>
          <w:rFonts w:ascii="Times New Roman" w:eastAsia="Calibri" w:hAnsi="Times New Roman" w:cs="Times New Roman"/>
          <w:i/>
          <w:sz w:val="24"/>
          <w:szCs w:val="24"/>
          <w:lang w:val="en-US"/>
        </w:rPr>
        <w:t>Keywords:</w:t>
      </w:r>
      <w:r w:rsidRPr="00CB3F88">
        <w:rPr>
          <w:rFonts w:ascii="Times New Roman" w:eastAsia="Calibri" w:hAnsi="Times New Roman" w:cs="Times New Roman"/>
          <w:sz w:val="24"/>
          <w:szCs w:val="24"/>
          <w:lang w:val="en-US"/>
        </w:rPr>
        <w:t xml:space="preserve"> </w:t>
      </w:r>
      <w:r w:rsidR="002679A0" w:rsidRPr="00CB3F88">
        <w:rPr>
          <w:rFonts w:ascii="Times New Roman" w:eastAsia="Calibri" w:hAnsi="Times New Roman" w:cs="Times New Roman"/>
          <w:sz w:val="24"/>
          <w:szCs w:val="24"/>
          <w:lang w:val="en-US"/>
        </w:rPr>
        <w:t xml:space="preserve">Early childhood, Sexuality, </w:t>
      </w:r>
      <w:r w:rsidR="007D3A08" w:rsidRPr="00CB3F88">
        <w:rPr>
          <w:rFonts w:ascii="Times New Roman" w:eastAsia="Calibri" w:hAnsi="Times New Roman" w:cs="Times New Roman"/>
          <w:sz w:val="24"/>
          <w:szCs w:val="24"/>
          <w:lang w:val="en-US"/>
        </w:rPr>
        <w:t>Families</w:t>
      </w:r>
      <w:r w:rsidR="002679A0" w:rsidRPr="00CB3F88">
        <w:rPr>
          <w:rFonts w:ascii="Times New Roman" w:eastAsia="Calibri" w:hAnsi="Times New Roman" w:cs="Times New Roman"/>
          <w:sz w:val="24"/>
          <w:szCs w:val="24"/>
          <w:lang w:val="en-US"/>
        </w:rPr>
        <w:t>, Guidance, Educational strategy.</w:t>
      </w:r>
    </w:p>
    <w:p w:rsidR="00CF0E6C" w:rsidRPr="00DD04DA" w:rsidRDefault="00A41E4A" w:rsidP="00DD04DA">
      <w:pPr>
        <w:widowControl w:val="0"/>
        <w:spacing w:line="360" w:lineRule="auto"/>
        <w:jc w:val="center"/>
        <w:rPr>
          <w:rFonts w:ascii="Times New Roman" w:eastAsia="Calibri" w:hAnsi="Times New Roman" w:cs="Times New Roman"/>
          <w:b/>
          <w:sz w:val="24"/>
          <w:szCs w:val="24"/>
          <w:lang w:val="es-MX"/>
        </w:rPr>
      </w:pPr>
      <w:r w:rsidRPr="00DD04DA">
        <w:rPr>
          <w:rFonts w:ascii="Times New Roman" w:eastAsia="Calibri" w:hAnsi="Times New Roman" w:cs="Times New Roman"/>
          <w:b/>
          <w:sz w:val="24"/>
          <w:szCs w:val="24"/>
          <w:lang w:val="es-MX"/>
        </w:rPr>
        <w:t>INTRODUCCIÓN</w:t>
      </w:r>
    </w:p>
    <w:p w:rsidR="006008DD" w:rsidRPr="00CB3F88" w:rsidRDefault="006008DD" w:rsidP="00CB3F88">
      <w:pPr>
        <w:widowControl w:val="0"/>
        <w:spacing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 xml:space="preserve">El objetivo de la Educación de la Primera Infancia en Cuba: pretende “el logro del máximo desarrollo integral posible en cada niño y niña, desde el nacimiento hasta los seis años” Logrando desde edades tempranas su desarrollo pleno e integral para lo cual es esencial el apoyo de las familias. Para el correcto cumplimiento de la función educativa, es necesario ante todo que las familias tomen consciencia de que ella es insustituible y que con ella se obtienen buenos resultados en la educación de sus niños, donde no es suficiente desearlo, sino que es imprescindible preparase para ello.   </w:t>
      </w:r>
    </w:p>
    <w:p w:rsidR="006008DD" w:rsidRPr="00CB3F88" w:rsidRDefault="006008DD" w:rsidP="00CB3F88">
      <w:pPr>
        <w:widowControl w:val="0"/>
        <w:spacing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 xml:space="preserve">Es un reto fundamental la orientación familiar para la institución educativa. Pues las familias tienen una potencialidad educativa al igual que la institución. A la institución educativa se ha </w:t>
      </w:r>
      <w:r w:rsidRPr="00CB3F88">
        <w:rPr>
          <w:rFonts w:ascii="Times New Roman" w:eastAsia="Calibri" w:hAnsi="Times New Roman" w:cs="Times New Roman"/>
          <w:sz w:val="24"/>
          <w:szCs w:val="24"/>
          <w:lang w:val="es-MX"/>
        </w:rPr>
        <w:lastRenderedPageBreak/>
        <w:t>conferido el encargo social de definir, organizar, dirigir y evaluar el contenido de la educación, que se hace extensivo al rol educativo de las familias, es precisamente por esa razón que esta problemática ocupa un lugar importante dentro de los estudios de las ciencias pedagógicas.</w:t>
      </w:r>
    </w:p>
    <w:p w:rsidR="00A377FD" w:rsidRPr="00CB3F88" w:rsidRDefault="00A377FD" w:rsidP="00CB3F88">
      <w:pPr>
        <w:spacing w:after="0" w:line="360" w:lineRule="auto"/>
        <w:ind w:left="709" w:hanging="709"/>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El investigador Campos Barrionuevo (2020), refiere que la familia y la escuela, aunque instituciones de cooperación y colaboración permanentes, son también perímetros de organización psicosocial con unas características muy singulares, que hay que conocer y tener en cuenta, de cara a optimizar la comunicación necesaria en el desarrollo de los procesos de enseñanza –aprendizaje de los aprendices y, en consecuencia, socio-educativos  (p. 218)</w:t>
      </w:r>
      <w:r w:rsidR="00DD04DA">
        <w:rPr>
          <w:rFonts w:ascii="Times New Roman" w:eastAsia="Arial" w:hAnsi="Times New Roman" w:cs="Times New Roman"/>
          <w:sz w:val="24"/>
          <w:szCs w:val="24"/>
        </w:rPr>
        <w:t xml:space="preserve">. </w:t>
      </w:r>
    </w:p>
    <w:p w:rsidR="006D008B" w:rsidRPr="00CB3F88" w:rsidRDefault="006D008B" w:rsidP="00CB3F88">
      <w:pPr>
        <w:spacing w:after="0" w:line="360" w:lineRule="auto"/>
        <w:ind w:left="709"/>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Las autoras del articulo comparte el criterio de Ares Muzio (2002), como se citó en Pérez Triana et al. (2023), la cual define a la familia como la unión de personas que comparten un proyecto vital de existencia en común que se quiere duradero, en el que se generan fuertes sentimientos de pertenencia a dicho grupo, existe un compromiso personal entre sus miembros y se establecen intensas relaciones de intimidad, reciprocidad y dependencia  (p.1).</w:t>
      </w:r>
    </w:p>
    <w:p w:rsidR="006008DD" w:rsidRPr="00CB3F88" w:rsidRDefault="006008DD" w:rsidP="00CB3F88">
      <w:pPr>
        <w:widowControl w:val="0"/>
        <w:spacing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Por el valor de las familias, al cuidado y la educación de los niños, es necesaria su orientación para que los eduquen sexualmente. Para que sean capaces de tomar decisiones adecuadas para aceptarse, cuidar y proteger su cuerpo, tengan relaciones responsables y enriquecedoras con el sexo opuesto.</w:t>
      </w:r>
    </w:p>
    <w:p w:rsidR="006008DD" w:rsidRPr="00CB3F88" w:rsidRDefault="006008DD" w:rsidP="00CB3F88">
      <w:pPr>
        <w:widowControl w:val="0"/>
        <w:spacing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Se han analizado documentos normativos emitidos por el Ministerio de Educación relacionados con el proceso de orientación en general, tales como indicaciones metodológicas y estrategias emanadas de las investigaciones realizadas en el país.</w:t>
      </w:r>
    </w:p>
    <w:p w:rsidR="006008DD" w:rsidRPr="00CB3F88" w:rsidRDefault="006008DD" w:rsidP="00CB3F88">
      <w:pPr>
        <w:widowControl w:val="0"/>
        <w:spacing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 xml:space="preserve">Sobre los referentes teóricos acerca de esta temática se destacan varios autores, los cuales realizan un análisis desde diferentes posiciones psicológicas y pedagógicas. Estos autores referidos </w:t>
      </w:r>
      <w:r w:rsidRPr="00CB3F88">
        <w:rPr>
          <w:rFonts w:ascii="Times New Roman" w:eastAsia="Calibri" w:hAnsi="Times New Roman" w:cs="Times New Roman"/>
          <w:sz w:val="24"/>
          <w:szCs w:val="24"/>
          <w:lang w:val="es-MX"/>
        </w:rPr>
        <w:lastRenderedPageBreak/>
        <w:t xml:space="preserve">coinciden en la necesidad de orientar a las familias en temas de educación de la sexualidad en sentido general. Reconocen además la necesidad de orientar en temas de sexualidad para que las familias incidan en la educación de sus futuros hijos desde el vientre materno. Insisten también en la necesidad de sensibilizar a las familias desarrollar una educación </w:t>
      </w:r>
      <w:r w:rsidR="00B20AC7" w:rsidRPr="00CB3F88">
        <w:rPr>
          <w:rFonts w:ascii="Times New Roman" w:eastAsia="Calibri" w:hAnsi="Times New Roman" w:cs="Times New Roman"/>
          <w:sz w:val="24"/>
          <w:szCs w:val="24"/>
          <w:lang w:val="es-MX"/>
        </w:rPr>
        <w:t xml:space="preserve">de la sexualidad libre de mitos </w:t>
      </w:r>
      <w:r w:rsidRPr="00CB3F88">
        <w:rPr>
          <w:rFonts w:ascii="Times New Roman" w:eastAsia="Calibri" w:hAnsi="Times New Roman" w:cs="Times New Roman"/>
          <w:sz w:val="24"/>
          <w:szCs w:val="24"/>
          <w:lang w:val="es-MX"/>
        </w:rPr>
        <w:t>desde las edades más tempranas. Sin embargo, los estudios apuntan básicamente al tratamiento de los ejes temáticos del Programa director de promoción y educación para la salud en el ámbito escolar y universitario.</w:t>
      </w:r>
    </w:p>
    <w:p w:rsidR="00D46186" w:rsidRPr="00CB3F88" w:rsidRDefault="00D46186"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Al decir de Reátegui Reátegui. L. (2019). Citado por Fajardo-Mora y Díaz-Campoverde (2022) la sexualidad infantil es aún desconocida desde el tema de la educación sexual, no se le ha reconocido, la importancia que tiene para el desarrollo en ascenso, por lo que hay que educar a padres y familias, en general en tanto durante ese período se establecen los vínculos afectivos más fuertes de la vida de niños y niñas. Porque los vínculos afectivos se forman desde la comunicación entendida como educación, para enseñar qué vías son las idóneas para generar un conocimiento de lo sexual más amplio y menos dogmático, reducido siempre al erotismo. (p. 302).</w:t>
      </w:r>
    </w:p>
    <w:p w:rsidR="00D46186" w:rsidRPr="00CB3F88" w:rsidRDefault="00D46186"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Para Fajardo-Mora y Díaz-Campoverde (2022), también, hay que “implementar una comunicación más efectiva y de unión con los padres para que este aprendizaje se instrumente de manera adecuada… formar en la sexualidad desde su infancia para que de esta manera los infantes puedan formar su identidad y género adecuadamente” (p. 302).</w:t>
      </w:r>
    </w:p>
    <w:p w:rsidR="00F42BA2" w:rsidRPr="00CB3F88" w:rsidRDefault="006008DD" w:rsidP="00CB3F88">
      <w:pPr>
        <w:widowControl w:val="0"/>
        <w:spacing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El análisis efectuado permite determinar una contradicción entre la necesidad de las familias, en función de que se apropien de los elementos necesarios de la educación de la sexualidad en los niños de la infancia preescolar. De ahí que se declara como objetivo: elaborar una estrategia educativa que contribuya elevar el nivel de orientación de las familias de los niños de infancia preescolar para el desarrollo de la sexualidad.</w:t>
      </w:r>
    </w:p>
    <w:p w:rsidR="000C4CC7" w:rsidRPr="00CB3F88" w:rsidRDefault="006C28FA" w:rsidP="00CB3F88">
      <w:pPr>
        <w:pBdr>
          <w:top w:val="nil"/>
          <w:left w:val="nil"/>
          <w:bottom w:val="nil"/>
          <w:right w:val="nil"/>
          <w:between w:val="nil"/>
        </w:pBdr>
        <w:spacing w:after="0" w:line="360" w:lineRule="auto"/>
        <w:ind w:right="44" w:hanging="72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           </w:t>
      </w:r>
      <w:r w:rsidR="000C4CC7" w:rsidRPr="00CB3F88">
        <w:rPr>
          <w:rFonts w:ascii="Times New Roman" w:eastAsia="Arial" w:hAnsi="Times New Roman" w:cs="Times New Roman"/>
          <w:b/>
          <w:color w:val="000000"/>
          <w:sz w:val="24"/>
          <w:szCs w:val="24"/>
        </w:rPr>
        <w:t>Marco teórico o referentes conceptuales</w:t>
      </w:r>
    </w:p>
    <w:p w:rsidR="000C4CC7" w:rsidRPr="00CB3F88" w:rsidRDefault="00212A4E" w:rsidP="00CB3F88">
      <w:pPr>
        <w:spacing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lastRenderedPageBreak/>
        <w:t>Son muchas las definiciones surgidas de l</w:t>
      </w:r>
      <w:r w:rsidR="00D17291" w:rsidRPr="00CB3F88">
        <w:rPr>
          <w:rFonts w:ascii="Times New Roman" w:eastAsia="Arial" w:hAnsi="Times New Roman" w:cs="Times New Roman"/>
          <w:sz w:val="24"/>
          <w:szCs w:val="24"/>
        </w:rPr>
        <w:t>a orientación d</w:t>
      </w:r>
      <w:r w:rsidR="000C4CC7" w:rsidRPr="00CB3F88">
        <w:rPr>
          <w:rFonts w:ascii="Times New Roman" w:eastAsia="Arial" w:hAnsi="Times New Roman" w:cs="Times New Roman"/>
          <w:sz w:val="24"/>
          <w:szCs w:val="24"/>
        </w:rPr>
        <w:t xml:space="preserve">esde </w:t>
      </w:r>
      <w:r w:rsidR="00D17291" w:rsidRPr="00CB3F88">
        <w:rPr>
          <w:rFonts w:ascii="Times New Roman" w:eastAsia="Arial" w:hAnsi="Times New Roman" w:cs="Times New Roman"/>
          <w:sz w:val="24"/>
          <w:szCs w:val="24"/>
        </w:rPr>
        <w:t>su</w:t>
      </w:r>
      <w:r w:rsidR="000C4CC7" w:rsidRPr="00CB3F88">
        <w:rPr>
          <w:rFonts w:ascii="Times New Roman" w:eastAsia="Arial" w:hAnsi="Times New Roman" w:cs="Times New Roman"/>
          <w:sz w:val="24"/>
          <w:szCs w:val="24"/>
        </w:rPr>
        <w:t xml:space="preserve"> surgimiento, diversos autores se han encontrado con la dificultad para definirla en función de s</w:t>
      </w:r>
      <w:r w:rsidRPr="00CB3F88">
        <w:rPr>
          <w:rFonts w:ascii="Times New Roman" w:eastAsia="Arial" w:hAnsi="Times New Roman" w:cs="Times New Roman"/>
          <w:sz w:val="24"/>
          <w:szCs w:val="24"/>
        </w:rPr>
        <w:t>us objetivos y campos de acción</w:t>
      </w:r>
      <w:r w:rsidR="000C4CC7" w:rsidRPr="00CB3F88">
        <w:rPr>
          <w:rFonts w:ascii="Times New Roman" w:eastAsia="Arial" w:hAnsi="Times New Roman" w:cs="Times New Roman"/>
          <w:sz w:val="24"/>
          <w:szCs w:val="24"/>
        </w:rPr>
        <w:t>, a lo largo del siglo XX abarcan una amplia gama de perspectivas a las cuales no ha estado ligada siempre la educación y, por ende la función docente</w:t>
      </w:r>
    </w:p>
    <w:p w:rsidR="000C4CC7" w:rsidRPr="00CB3F88" w:rsidRDefault="000C4CC7" w:rsidP="00CB3F88">
      <w:pPr>
        <w:spacing w:after="0" w:line="360" w:lineRule="auto"/>
        <w:ind w:left="709"/>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De acuerdo con Almarales Hidalgo (2020): La orientación educativa como función esencial de los psicopedagogos se convierte en herramienta esencial pues permite armonizar el sistema de influencias educativas para lograr el desarrollo integral de la personalidad de los alumnos. Para ello se hace necesario que el estudiantado desarrolle la habilidad argumentar de manera que le permita atender las diferentes situaciones que se le presenten en los contextos de actuación. (p.125).</w:t>
      </w:r>
    </w:p>
    <w:p w:rsidR="000C4CC7" w:rsidRPr="00CB3F88" w:rsidRDefault="00B9565A"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La orientación familiar d</w:t>
      </w:r>
      <w:r w:rsidR="000C4CC7" w:rsidRPr="00CB3F88">
        <w:rPr>
          <w:rFonts w:ascii="Times New Roman" w:eastAsia="Arial" w:hAnsi="Times New Roman" w:cs="Times New Roman"/>
          <w:sz w:val="24"/>
          <w:szCs w:val="24"/>
        </w:rPr>
        <w:t xml:space="preserve">ada la complejidad del término, la comprensión del mismo exige recurrir a una diversidad de fuentes y perspectivas que nos ayuden a aproximarnos a su definición. Por ello, realizamos una revisión minuciosa y análisis del significado, funciones, principios, áreas o dimensiones, con el fin de comprender su conceptualización, que es vista en este trabajo como proceso de acompañamiento y asesoría. </w:t>
      </w:r>
    </w:p>
    <w:p w:rsidR="000C4CC7" w:rsidRPr="00CB3F88" w:rsidRDefault="000C4CC7" w:rsidP="00CB3F88">
      <w:pPr>
        <w:spacing w:after="0" w:line="360" w:lineRule="auto"/>
        <w:ind w:left="709"/>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De acuerdo con lo expresado por la investigadora Travieso Leal (2020), como se citó en  Vargas Fernández et al. (2023) sobre la orientación es una alternativa de la educación sistemática que prepara la familia para el desempeño de sus funciones sobre todo la socializadora y permite coordinar entre las familias y los educadores las acciones educativas necesarias para influir sobre los hijos, son un espacio de reflexión y debate en torno a temas de interés colectivo referentes a  la educación de sus hijos y están encaminadas a elevar la preparación de sus padres y estimular su participación activa en su descendencia. (p. 12)</w:t>
      </w:r>
    </w:p>
    <w:p w:rsidR="000C4CC7" w:rsidRPr="00CB3F88" w:rsidRDefault="00B9565A"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presupone tomar en consideración e</w:t>
      </w:r>
      <w:r w:rsidR="000C4CC7" w:rsidRPr="00CB3F88">
        <w:rPr>
          <w:rFonts w:ascii="Times New Roman" w:eastAsia="Arial" w:hAnsi="Times New Roman" w:cs="Times New Roman"/>
          <w:sz w:val="24"/>
          <w:szCs w:val="24"/>
        </w:rPr>
        <w:t xml:space="preserve">l estudio de las familias el carácter evolutivo de esta, al no verla como algo estático, sino como un grupo en constante transformación que pasa de una forma </w:t>
      </w:r>
      <w:r w:rsidR="000C4CC7" w:rsidRPr="00CB3F88">
        <w:rPr>
          <w:rFonts w:ascii="Times New Roman" w:eastAsia="Arial" w:hAnsi="Times New Roman" w:cs="Times New Roman"/>
          <w:sz w:val="24"/>
          <w:szCs w:val="24"/>
        </w:rPr>
        <w:lastRenderedPageBreak/>
        <w:t>inferior a una forma superior a medida que la sociedad evoluciona de un grado más bajo a otro más alto. Para los cambios que tienen lugar en los diferentes períodos del ciclo familiar, se requiere que todos los miembros estén debidamente orientados para que pueda lograrse la comprensión y la ayuda mutua.</w:t>
      </w:r>
    </w:p>
    <w:p w:rsidR="000C4CC7" w:rsidRPr="00CB3F88" w:rsidRDefault="000C4CC7"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Dada la complejidad de este término, la comprensión del mismo exige recurrir a una diversidad de fuentes y perspectivas que nos ayuden a aproximarnos a su definición. Por ello, realizamos una revisión minuciosa y análisis del significado, funciones, principios, áreas o dimensiones de la orientación, con el fin de comprender la conceptualización de la orientación familiar.</w:t>
      </w:r>
    </w:p>
    <w:p w:rsidR="000C4CC7" w:rsidRPr="00CB3F88" w:rsidRDefault="000C4CC7"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El análisis, desde el punto de vista histórico, nos permite asumir su evolución, comprender el presente y entender el futuro desde una perspectiva más amplia, retomando las fortalezas y disminuyendo las debilidades en relación con los nuevos enfoques y posturas acerca de la orientación.</w:t>
      </w:r>
    </w:p>
    <w:p w:rsidR="000C4CC7" w:rsidRPr="00CB3F88" w:rsidRDefault="000C4CC7"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 xml:space="preserve">En el campo de la orientación familiar existen diversos enfoques, teorías, modelos y tendencias, de las cuales se han derivado conceptos y términos que no siempre son utilizados con el mismo sentido. </w:t>
      </w:r>
    </w:p>
    <w:p w:rsidR="000C4CC7" w:rsidRPr="00CB3F88" w:rsidRDefault="000C4CC7"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Los investigadores Chambala Dos Santos et al. (2020), consideran la orientación familiar como: “un proceso en el cual se establece una relación de ayuda entre el orientador y las personas que están unidas por un vínculo familiar y este proceso ha de tener un carácter sistemático y planificado”. (p.53)</w:t>
      </w:r>
    </w:p>
    <w:p w:rsidR="000C4CC7" w:rsidRPr="00CB3F88" w:rsidRDefault="000C4CC7"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Al decir de Castellanos Bernal. (2017), la orientación familiar es el conjunto de contenidos, recursos y procedimientos para apoyar la tarea educativa en la familia. Les ayuda a cumplir el compromiso de educar con responsabilidad a sus hijos, y de crear y mantener un ambiente familiar lo más funcional posible. (p.1).</w:t>
      </w:r>
    </w:p>
    <w:p w:rsidR="000C4CC7" w:rsidRPr="00CB3F88" w:rsidRDefault="000C4CC7" w:rsidP="00CB3F88">
      <w:pPr>
        <w:spacing w:after="0" w:line="360" w:lineRule="auto"/>
        <w:ind w:left="709"/>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 xml:space="preserve">Los investigadores Vargas Fernández et al. (2023), consideran el proceso de orientación, resulta imprescindible la comunicación para conducir la sensibilización e implicación de los sujetos, así como la identificación por parte del orientador de aquellas unidades </w:t>
      </w:r>
      <w:r w:rsidRPr="00CB3F88">
        <w:rPr>
          <w:rFonts w:ascii="Times New Roman" w:eastAsia="Arial" w:hAnsi="Times New Roman" w:cs="Times New Roman"/>
          <w:sz w:val="24"/>
          <w:szCs w:val="24"/>
        </w:rPr>
        <w:lastRenderedPageBreak/>
        <w:t>subjetivas del desarrollo para propiciar y movilizar la actuación en función de estimular el cumplimiento de la función educativa de la familia. (p.4)</w:t>
      </w:r>
    </w:p>
    <w:p w:rsidR="000C4CC7" w:rsidRPr="00CB3F88" w:rsidRDefault="000C4CC7" w:rsidP="00CB3F88">
      <w:pPr>
        <w:spacing w:after="0" w:line="360" w:lineRule="auto"/>
        <w:ind w:left="709"/>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En torno a la orientación familiar, Vargas Fernández  et al. (2023), declaran que: se comprende como un proceso de ayuda, es, además, una vía de entendimiento con la institución educativa. Se ha interpretado, como un conjunto de técnicas y prácticas profesionales dirigidas a fortalecer las capacidades y los vínculos que unen a los miembros de un mismo sistema familiar, con la finalidad de que éstos resulten sanos, eficaces y capaces de promover el crecimiento personal de cada uno de los miembros de la familia y de sus lazos afectivos y emocionales. Convirtiéndose en un servicio de ayuda y apoyo a las familias que se encuentran con dificultades dentro de su ciclo vital, cuyo objetivo es potenciar sus recursos y habilidades, sirviendo de prevención ante posibles trastornos psicosociales más graves. (p.2)</w:t>
      </w:r>
    </w:p>
    <w:p w:rsidR="000C4CC7" w:rsidRPr="00CB3F88" w:rsidRDefault="00B9565A"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Se constatan las siguientes exigencias a</w:t>
      </w:r>
      <w:r w:rsidR="000C4CC7" w:rsidRPr="00CB3F88">
        <w:rPr>
          <w:rFonts w:ascii="Times New Roman" w:eastAsia="Arial" w:hAnsi="Times New Roman" w:cs="Times New Roman"/>
          <w:sz w:val="24"/>
          <w:szCs w:val="24"/>
        </w:rPr>
        <w:t>l hacer un análisis de esta definición:</w:t>
      </w:r>
    </w:p>
    <w:p w:rsidR="000C4CC7" w:rsidRPr="00CB3F88" w:rsidRDefault="000C4CC7"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 xml:space="preserve">• </w:t>
      </w:r>
      <w:r w:rsidR="00EC2BB2" w:rsidRPr="00CB3F88">
        <w:rPr>
          <w:rFonts w:ascii="Times New Roman" w:eastAsia="Arial" w:hAnsi="Times New Roman" w:cs="Times New Roman"/>
          <w:sz w:val="24"/>
          <w:szCs w:val="24"/>
        </w:rPr>
        <w:t>Debe considerarse l</w:t>
      </w:r>
      <w:r w:rsidRPr="00CB3F88">
        <w:rPr>
          <w:rFonts w:ascii="Times New Roman" w:eastAsia="Arial" w:hAnsi="Times New Roman" w:cs="Times New Roman"/>
          <w:sz w:val="24"/>
          <w:szCs w:val="24"/>
        </w:rPr>
        <w:t>a orientación como un proceso continuo, vital para todos los seres humanos a fin de prepararlos para la realización eficiente de las tareas de desarrollo para que logren desenvolverse con mayor independencia.</w:t>
      </w:r>
    </w:p>
    <w:p w:rsidR="000C4CC7" w:rsidRPr="00CB3F88" w:rsidRDefault="000C4CC7"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 xml:space="preserve">• </w:t>
      </w:r>
      <w:r w:rsidR="00EC2BB2" w:rsidRPr="00CB3F88">
        <w:rPr>
          <w:rFonts w:ascii="Times New Roman" w:eastAsia="Arial" w:hAnsi="Times New Roman" w:cs="Times New Roman"/>
          <w:sz w:val="24"/>
          <w:szCs w:val="24"/>
        </w:rPr>
        <w:t>Significa ayuda y no imposición l</w:t>
      </w:r>
      <w:r w:rsidRPr="00CB3F88">
        <w:rPr>
          <w:rFonts w:ascii="Times New Roman" w:eastAsia="Arial" w:hAnsi="Times New Roman" w:cs="Times New Roman"/>
          <w:sz w:val="24"/>
          <w:szCs w:val="24"/>
        </w:rPr>
        <w:t>a orientación del punto de vista de una persona sobre otra. No es tomar decisiones por alguien, sino ayudarlo a resolver sus problemas, a desarrollar sus criterios y a responsabilizarse con sus decisiones.</w:t>
      </w:r>
    </w:p>
    <w:p w:rsidR="000C4CC7" w:rsidRPr="00CB3F88" w:rsidRDefault="000C4CC7"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 xml:space="preserve">• </w:t>
      </w:r>
      <w:r w:rsidR="00EC2BB2" w:rsidRPr="00CB3F88">
        <w:rPr>
          <w:rFonts w:ascii="Times New Roman" w:eastAsia="Arial" w:hAnsi="Times New Roman" w:cs="Times New Roman"/>
          <w:sz w:val="24"/>
          <w:szCs w:val="24"/>
        </w:rPr>
        <w:t>Contempla objetivos individuales y sociales l</w:t>
      </w:r>
      <w:r w:rsidRPr="00CB3F88">
        <w:rPr>
          <w:rFonts w:ascii="Times New Roman" w:eastAsia="Arial" w:hAnsi="Times New Roman" w:cs="Times New Roman"/>
          <w:sz w:val="24"/>
          <w:szCs w:val="24"/>
        </w:rPr>
        <w:t>a orientación en sí misma, ya que a la vez redunda en beneficio del desarrollo pleno del hombre, aportando más a la sociedad.</w:t>
      </w:r>
    </w:p>
    <w:p w:rsidR="001E2976" w:rsidRPr="00CB3F88" w:rsidRDefault="000C4CC7"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 xml:space="preserve">El círculo infantil tiene entre sus funciones con la implementación del tercer perfeccionamiento la coordinación y cooperación entre los diferentes factores potenciadores de influencias educativas (organizaciones, familias, instituciones y comunidad) que pueden integrarse y optimizar procesos de desarrollo humano. La institución se percibe como prestadora de servicio a las familias y la </w:t>
      </w:r>
      <w:r w:rsidRPr="00CB3F88">
        <w:rPr>
          <w:rFonts w:ascii="Times New Roman" w:eastAsia="Arial" w:hAnsi="Times New Roman" w:cs="Times New Roman"/>
          <w:sz w:val="24"/>
          <w:szCs w:val="24"/>
        </w:rPr>
        <w:lastRenderedPageBreak/>
        <w:t xml:space="preserve">comunidad, lo que permitirá a la orientación con enfoque de género en familias de niños de infancia </w:t>
      </w:r>
      <w:r w:rsidR="00D17291" w:rsidRPr="00CB3F88">
        <w:rPr>
          <w:rFonts w:ascii="Times New Roman" w:eastAsia="Arial" w:hAnsi="Times New Roman" w:cs="Times New Roman"/>
          <w:sz w:val="24"/>
          <w:szCs w:val="24"/>
        </w:rPr>
        <w:t>preescolar.</w:t>
      </w:r>
    </w:p>
    <w:p w:rsidR="001E2976" w:rsidRPr="00CB3F88" w:rsidRDefault="001E2976" w:rsidP="00CB3F88">
      <w:pPr>
        <w:spacing w:after="0" w:line="360" w:lineRule="auto"/>
        <w:jc w:val="both"/>
        <w:rPr>
          <w:rFonts w:ascii="Times New Roman" w:eastAsia="Arial" w:hAnsi="Times New Roman" w:cs="Times New Roman"/>
          <w:b/>
          <w:color w:val="FF0000"/>
          <w:sz w:val="24"/>
          <w:szCs w:val="24"/>
        </w:rPr>
      </w:pPr>
      <w:r w:rsidRPr="00CB3F88">
        <w:rPr>
          <w:rFonts w:ascii="Times New Roman" w:eastAsia="Arial" w:hAnsi="Times New Roman" w:cs="Times New Roman"/>
          <w:b/>
          <w:sz w:val="24"/>
          <w:szCs w:val="24"/>
        </w:rPr>
        <w:t>Metodología empleada</w:t>
      </w:r>
    </w:p>
    <w:p w:rsidR="001E2976" w:rsidRPr="00CB3F88" w:rsidRDefault="00DB3A55"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El dialéctico materialista s</w:t>
      </w:r>
      <w:r w:rsidR="001E2976" w:rsidRPr="00CB3F88">
        <w:rPr>
          <w:rFonts w:ascii="Times New Roman" w:eastAsia="Arial" w:hAnsi="Times New Roman" w:cs="Times New Roman"/>
          <w:sz w:val="24"/>
          <w:szCs w:val="24"/>
        </w:rPr>
        <w:t xml:space="preserve">e empleó como método general y se siguió una estrategia investigativa de tipo predominantemente cuantitativa, de nivel explicativo, aplicándose diferentes métodos del nivel teórico, empírico, matemáticos y/o estadísticos tales como: el análisis-síntesis, inducción-deducción, histórico-lógico, tránsito de lo abstracto a lo concreto, la observación científica, la encuesta, la entrevista, el experimento, criterio de expertos y la estadística descriptiva. </w:t>
      </w:r>
    </w:p>
    <w:p w:rsidR="001E2976" w:rsidRPr="00CB3F88" w:rsidRDefault="00DB3A55" w:rsidP="00CB3F88">
      <w:pPr>
        <w:spacing w:after="0" w:line="360" w:lineRule="auto"/>
        <w:jc w:val="both"/>
        <w:rPr>
          <w:rFonts w:ascii="Times New Roman" w:hAnsi="Times New Roman" w:cs="Times New Roman"/>
          <w:sz w:val="24"/>
          <w:szCs w:val="24"/>
        </w:rPr>
      </w:pPr>
      <w:r w:rsidRPr="00CB3F88">
        <w:rPr>
          <w:rFonts w:ascii="Times New Roman" w:eastAsia="Arial" w:hAnsi="Times New Roman" w:cs="Times New Roman"/>
          <w:sz w:val="24"/>
          <w:szCs w:val="24"/>
        </w:rPr>
        <w:t xml:space="preserve">Con el empleo de </w:t>
      </w:r>
      <w:r w:rsidR="001E2976" w:rsidRPr="00CB3F88">
        <w:rPr>
          <w:rFonts w:ascii="Times New Roman" w:eastAsia="Arial" w:hAnsi="Times New Roman" w:cs="Times New Roman"/>
          <w:sz w:val="24"/>
          <w:szCs w:val="24"/>
        </w:rPr>
        <w:t xml:space="preserve"> los métodos e instrumentos investigativos, se pudo constatar que las familias poseen dominio del reglamento del centro, así como de las actividades que se realizan con sus niños y necesidades de los mismos en alguna de las dimensiones y desarrollo. Evidenciando resultados en el comportamiento de cada integrante del grupo dentro de la dinámica familiar y en los diferentes escenarios de participación, durante la realización de las acciones concebidas dentro de la estrategia, los que constituyen una fortaleza para el desarrollo de la orientación con enfoque de género en familias de niños de infancia preescolar, propiciando un desaprender – aprendiendo.</w:t>
      </w:r>
    </w:p>
    <w:p w:rsidR="000C4CC7" w:rsidRPr="00CB3F88" w:rsidRDefault="000C4CC7" w:rsidP="00CB3F88">
      <w:pPr>
        <w:spacing w:after="0" w:line="360" w:lineRule="auto"/>
        <w:jc w:val="both"/>
        <w:rPr>
          <w:rFonts w:ascii="Times New Roman" w:eastAsia="Arial" w:hAnsi="Times New Roman" w:cs="Times New Roman"/>
          <w:sz w:val="24"/>
          <w:szCs w:val="24"/>
        </w:rPr>
      </w:pPr>
    </w:p>
    <w:p w:rsidR="007823CB" w:rsidRPr="00CB3F88" w:rsidRDefault="007823CB" w:rsidP="00CB3F88">
      <w:pPr>
        <w:widowControl w:val="0"/>
        <w:spacing w:after="0" w:line="360" w:lineRule="auto"/>
        <w:jc w:val="both"/>
        <w:rPr>
          <w:rFonts w:ascii="Times New Roman" w:eastAsia="Calibri" w:hAnsi="Times New Roman" w:cs="Times New Roman"/>
          <w:b/>
          <w:sz w:val="24"/>
          <w:szCs w:val="24"/>
          <w:lang w:val="es-MX"/>
        </w:rPr>
      </w:pPr>
      <w:r w:rsidRPr="00CB3F88">
        <w:rPr>
          <w:rFonts w:ascii="Times New Roman" w:eastAsia="Calibri" w:hAnsi="Times New Roman" w:cs="Times New Roman"/>
          <w:b/>
          <w:sz w:val="24"/>
          <w:szCs w:val="24"/>
          <w:lang w:val="es-MX"/>
        </w:rPr>
        <w:t>Resultados</w:t>
      </w:r>
    </w:p>
    <w:p w:rsidR="007823CB" w:rsidRPr="00CB3F88" w:rsidRDefault="007823CB"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A partir de un estudio detallado de la orientación familiar que se lleva a cabo en el Círculo Infantil “Pequeños Camaradas” y en particular a la orientación en familias de niños de infancia preescolar, en la que se aprecia, que desde el plan educativo orientado por el Ministerio de Educación, se evidenció que lo relacionado con la educación de la sexualidad de los niños de la primera infancia no está explicitado para la orientación al trabajo con las familias, aun se evidencia que en dicho plan no se hace alusión a los derechos sexuales de los niños como un aspecto a tratar.</w:t>
      </w:r>
    </w:p>
    <w:p w:rsidR="007823CB" w:rsidRPr="00CB3F88" w:rsidRDefault="007823CB"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La selección de la estrategia a utilizar está en dependencia de lo que se espera obtener de ella, es decir, de los objetivos que se persigan y de la información científica con que se cuente.</w:t>
      </w:r>
    </w:p>
    <w:p w:rsidR="00A24BF2" w:rsidRPr="00CB3F88" w:rsidRDefault="00A24BF2" w:rsidP="00CB3F88">
      <w:pPr>
        <w:spacing w:after="0" w:line="360" w:lineRule="auto"/>
        <w:ind w:left="709" w:hanging="709"/>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lastRenderedPageBreak/>
        <w:t>En la investigación se asume la definición de estrategia educativa dada por Rodríguez del Castillo y Rodríguez Palacios (2011), las que plantean que es: La proyección de un sistema de acciones a corto, mediano y largo plazo que permite la transformación de los modos de actuación de los escolares para alcanzar en un tiempo concreto los objetivos comprometidos con la formación, desarrollo y perfeccionamiento de sus facultades morales e intelectual (p. 22-40).</w:t>
      </w:r>
    </w:p>
    <w:p w:rsidR="00956B66" w:rsidRPr="00CB3F88" w:rsidRDefault="008C32C4"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 xml:space="preserve">La estrategia educativa  </w:t>
      </w:r>
      <w:r w:rsidR="00651A84" w:rsidRPr="00CB3F88">
        <w:rPr>
          <w:rFonts w:ascii="Times New Roman" w:eastAsia="Calibri" w:hAnsi="Times New Roman" w:cs="Times New Roman"/>
          <w:sz w:val="24"/>
          <w:szCs w:val="24"/>
          <w:lang w:val="es-MX"/>
        </w:rPr>
        <w:t xml:space="preserve">cumple con </w:t>
      </w:r>
      <w:r w:rsidR="00956B66" w:rsidRPr="00CB3F88">
        <w:rPr>
          <w:rFonts w:ascii="Times New Roman" w:eastAsia="Calibri" w:hAnsi="Times New Roman" w:cs="Times New Roman"/>
          <w:sz w:val="24"/>
          <w:szCs w:val="24"/>
          <w:lang w:val="es-MX"/>
        </w:rPr>
        <w:t>objetivo general de contribuir a la orientación en familias de niños de infancia preescolar</w:t>
      </w:r>
      <w:r w:rsidR="005008B0" w:rsidRPr="00CB3F88">
        <w:rPr>
          <w:rFonts w:ascii="Times New Roman" w:eastAsia="Calibri" w:hAnsi="Times New Roman" w:cs="Times New Roman"/>
          <w:sz w:val="24"/>
          <w:szCs w:val="24"/>
          <w:lang w:val="es-MX"/>
        </w:rPr>
        <w:t xml:space="preserve"> sobre </w:t>
      </w:r>
      <w:r w:rsidR="00F271A4" w:rsidRPr="00CB3F88">
        <w:rPr>
          <w:rFonts w:ascii="Times New Roman" w:eastAsia="Calibri" w:hAnsi="Times New Roman" w:cs="Times New Roman"/>
          <w:sz w:val="24"/>
          <w:szCs w:val="24"/>
          <w:lang w:val="es-MX"/>
        </w:rPr>
        <w:t>la educación de la sexualidad</w:t>
      </w:r>
      <w:r w:rsidR="00956B66" w:rsidRPr="00CB3F88">
        <w:rPr>
          <w:rFonts w:ascii="Times New Roman" w:eastAsia="Calibri" w:hAnsi="Times New Roman" w:cs="Times New Roman"/>
          <w:sz w:val="24"/>
          <w:szCs w:val="24"/>
          <w:lang w:val="es-MX"/>
        </w:rPr>
        <w:t>.</w:t>
      </w:r>
    </w:p>
    <w:p w:rsidR="00956B66" w:rsidRPr="00CB3F88" w:rsidRDefault="00956B66"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Consecuentemente, la educación abarca todas las facetas del desarrollo de la personalidad del ser humano, y en ellas se incluye la educación de la sexualidad, ocupando esta un lugar significativo en la educación de las nuevas generaciones, en virtud de contribuir al desarrollo de estilos de vida saludables que redunden en una mejor calidad de vida. Los presupuestos que sirven como base teórica a la estrategia parten de la valoración filosófica, sociológica, psicológica y pedagógica.</w:t>
      </w:r>
    </w:p>
    <w:p w:rsidR="00956B66" w:rsidRPr="00CB3F88" w:rsidRDefault="00575120"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Considera l</w:t>
      </w:r>
      <w:r w:rsidR="00956B66" w:rsidRPr="00CB3F88">
        <w:rPr>
          <w:rFonts w:ascii="Times New Roman" w:eastAsia="Calibri" w:hAnsi="Times New Roman" w:cs="Times New Roman"/>
          <w:sz w:val="24"/>
          <w:szCs w:val="24"/>
          <w:lang w:val="es-MX"/>
        </w:rPr>
        <w:t>a estrategia las potencialidades que tiene el proceso educativo para integrar sus componentes organizacionales en virtud de la educación de la sexualidad en familias de los niños de la infancia preescolar y tiene como sustento teórico la filosofía marxista-leninista, basada en su método dialéctico materialista en relación directa con el proceso de formación del hombre en interacción con la naturaleza y la sociedad, mediante la práctica social.</w:t>
      </w:r>
    </w:p>
    <w:p w:rsidR="00956B66" w:rsidRPr="00CB3F88" w:rsidRDefault="00956B66"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El desarrollo de esta estrategia se fundamenta en la sociología de la educación marxista, basada en la relación entre la educación y la transformación de la sociedad, así como el papel las familias como protagonistas de este proceso. Se brindan oportunidades a las familias  para que reflexionen, socialicen información y aprendan nuevas formas de educarse en sexualidad que servirán de base a las acciones que posteriormente deberán desarrollar con sus hijos en condiciones del hogar.</w:t>
      </w:r>
    </w:p>
    <w:p w:rsidR="00956B66" w:rsidRPr="00CB3F88" w:rsidRDefault="00956B66"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 xml:space="preserve">El enfoque histórico-cultural se manifiesta en todos los componentes del contenido al que está dirigida la estrategia educativa. Se parte de considerar las ideas de Vygotsky relacionadas con la </w:t>
      </w:r>
      <w:r w:rsidRPr="00CB3F88">
        <w:rPr>
          <w:rFonts w:ascii="Times New Roman" w:eastAsia="Calibri" w:hAnsi="Times New Roman" w:cs="Times New Roman"/>
          <w:sz w:val="24"/>
          <w:szCs w:val="24"/>
          <w:lang w:val="es-MX"/>
        </w:rPr>
        <w:lastRenderedPageBreak/>
        <w:t>situación social del desarrollo, como punto de partida para todos los cambios dinámicos que se producen a lo largo de toda la vida en el desarrollo del psiquismo humano y a la asunción de este desarrollo como un proceso que se mueve del plano externo, social e interpsicológico al plano interno, individual e intrapsicológico sobre la base de la participación activa y consciente las familias</w:t>
      </w:r>
    </w:p>
    <w:p w:rsidR="00956B66" w:rsidRPr="00CB3F88" w:rsidRDefault="00956B66"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Características de la estrategia educativa que se propone</w:t>
      </w:r>
    </w:p>
    <w:p w:rsidR="00956B66" w:rsidRPr="00CB3F88" w:rsidRDefault="00956B66"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-La contextualización de acciones en correspondencia con las problemát</w:t>
      </w:r>
      <w:r w:rsidR="009405D9" w:rsidRPr="00CB3F88">
        <w:rPr>
          <w:rFonts w:ascii="Times New Roman" w:eastAsia="Calibri" w:hAnsi="Times New Roman" w:cs="Times New Roman"/>
          <w:sz w:val="24"/>
          <w:szCs w:val="24"/>
          <w:lang w:val="es-MX"/>
        </w:rPr>
        <w:t xml:space="preserve">icas derivadas del diagnóstico: </w:t>
      </w:r>
      <w:r w:rsidRPr="00CB3F88">
        <w:rPr>
          <w:rFonts w:ascii="Times New Roman" w:eastAsia="Calibri" w:hAnsi="Times New Roman" w:cs="Times New Roman"/>
          <w:sz w:val="24"/>
          <w:szCs w:val="24"/>
          <w:lang w:val="es-MX"/>
        </w:rPr>
        <w:t>La flexibilidad de las a</w:t>
      </w:r>
      <w:r w:rsidR="009405D9" w:rsidRPr="00CB3F88">
        <w:rPr>
          <w:rFonts w:ascii="Times New Roman" w:eastAsia="Calibri" w:hAnsi="Times New Roman" w:cs="Times New Roman"/>
          <w:sz w:val="24"/>
          <w:szCs w:val="24"/>
          <w:lang w:val="es-MX"/>
        </w:rPr>
        <w:t>cciones,</w:t>
      </w:r>
      <w:r w:rsidRPr="00CB3F88">
        <w:rPr>
          <w:rFonts w:ascii="Times New Roman" w:eastAsia="Calibri" w:hAnsi="Times New Roman" w:cs="Times New Roman"/>
          <w:sz w:val="24"/>
          <w:szCs w:val="24"/>
          <w:lang w:val="es-MX"/>
        </w:rPr>
        <w:t xml:space="preserve"> el enfoque alternativo participativo d</w:t>
      </w:r>
      <w:r w:rsidR="009405D9" w:rsidRPr="00CB3F88">
        <w:rPr>
          <w:rFonts w:ascii="Times New Roman" w:eastAsia="Calibri" w:hAnsi="Times New Roman" w:cs="Times New Roman"/>
          <w:sz w:val="24"/>
          <w:szCs w:val="24"/>
          <w:lang w:val="es-MX"/>
        </w:rPr>
        <w:t xml:space="preserve">e la educación de la sexualidad, </w:t>
      </w:r>
      <w:r w:rsidRPr="00CB3F88">
        <w:rPr>
          <w:rFonts w:ascii="Times New Roman" w:eastAsia="Calibri" w:hAnsi="Times New Roman" w:cs="Times New Roman"/>
          <w:sz w:val="24"/>
          <w:szCs w:val="24"/>
          <w:lang w:val="es-MX"/>
        </w:rPr>
        <w:t>el uso de las nuevas tecnologías de la información y las comunicaciones y el trabajo en red con la</w:t>
      </w:r>
      <w:r w:rsidR="00FF1093" w:rsidRPr="00CB3F88">
        <w:rPr>
          <w:rFonts w:ascii="Times New Roman" w:eastAsia="Calibri" w:hAnsi="Times New Roman" w:cs="Times New Roman"/>
          <w:sz w:val="24"/>
          <w:szCs w:val="24"/>
          <w:lang w:val="es-MX"/>
        </w:rPr>
        <w:t>s agencias y agentes educativos, e</w:t>
      </w:r>
      <w:r w:rsidRPr="00CB3F88">
        <w:rPr>
          <w:rFonts w:ascii="Times New Roman" w:eastAsia="Calibri" w:hAnsi="Times New Roman" w:cs="Times New Roman"/>
          <w:sz w:val="24"/>
          <w:szCs w:val="24"/>
          <w:lang w:val="es-MX"/>
        </w:rPr>
        <w:t>nfoque lúdic</w:t>
      </w:r>
      <w:r w:rsidR="00FF1093" w:rsidRPr="00CB3F88">
        <w:rPr>
          <w:rFonts w:ascii="Times New Roman" w:eastAsia="Calibri" w:hAnsi="Times New Roman" w:cs="Times New Roman"/>
          <w:sz w:val="24"/>
          <w:szCs w:val="24"/>
          <w:lang w:val="es-MX"/>
        </w:rPr>
        <w:t>o, r</w:t>
      </w:r>
      <w:r w:rsidRPr="00CB3F88">
        <w:rPr>
          <w:rFonts w:ascii="Times New Roman" w:eastAsia="Calibri" w:hAnsi="Times New Roman" w:cs="Times New Roman"/>
          <w:sz w:val="24"/>
          <w:szCs w:val="24"/>
          <w:lang w:val="es-MX"/>
        </w:rPr>
        <w:t>esponden al tercer perfeccionamiento de educación de la primera infancia</w:t>
      </w:r>
    </w:p>
    <w:p w:rsidR="00956B66" w:rsidRPr="00CB3F88" w:rsidRDefault="00956B66"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En este sentido se asumió la organización de la estrategia de acuerdo con lo planteado por los investigadores Rodríguez del Castillo y Rodríguez Palacios (2011) quienes la conciben de la siguiente forma:</w:t>
      </w:r>
    </w:p>
    <w:p w:rsidR="00956B66" w:rsidRPr="00CB3F88" w:rsidRDefault="00956B66"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La estrategia educativa propuesta está estructurada en las etapas siguientes:</w:t>
      </w:r>
    </w:p>
    <w:p w:rsidR="00956B66" w:rsidRPr="00CB3F88" w:rsidRDefault="00956B66"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1. Introducción-fundamentación. Se establece el contexto y ubicación de la problemática a resolver, ideas y puntos de partida que fundamentan la estrategia.</w:t>
      </w:r>
    </w:p>
    <w:p w:rsidR="00956B66" w:rsidRPr="00CB3F88" w:rsidRDefault="00956B66"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2. Diagnóstico. Se indica en el estado real del objeto y se evidencia el problema en torno al cual gira y se desarrolla la estrategia.</w:t>
      </w:r>
    </w:p>
    <w:p w:rsidR="00956B66" w:rsidRPr="00CB3F88" w:rsidRDefault="00956B66"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3. Planteamiento del objetivo general. Define las metas a alcanzar a corto, mediano y largo plazo, en períodos pre establecidos.</w:t>
      </w:r>
    </w:p>
    <w:p w:rsidR="00956B66" w:rsidRPr="00CB3F88" w:rsidRDefault="00956B66"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4. Planeación estratégica. Se definen metas u objetivos a corto y mediano plazo que permiten la transformación del objeto desde su estado real hasta el estado deseado.</w:t>
      </w:r>
    </w:p>
    <w:p w:rsidR="00956B66" w:rsidRPr="00CB3F88" w:rsidRDefault="00956B66"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Planificación por etapas de las acciones, recursos, medios y métodos que corresponden a estos objetivos.</w:t>
      </w:r>
    </w:p>
    <w:p w:rsidR="00956B66" w:rsidRPr="00CB3F88" w:rsidRDefault="00956B66"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 xml:space="preserve">5. Instrumentación. Se explica  cómo se aplicará, bajo qué condiciones, durante qué tiempo, </w:t>
      </w:r>
      <w:r w:rsidRPr="00CB3F88">
        <w:rPr>
          <w:rFonts w:ascii="Times New Roman" w:eastAsia="Calibri" w:hAnsi="Times New Roman" w:cs="Times New Roman"/>
          <w:sz w:val="24"/>
          <w:szCs w:val="24"/>
          <w:lang w:val="es-MX"/>
        </w:rPr>
        <w:lastRenderedPageBreak/>
        <w:t>responsables, participantes.</w:t>
      </w:r>
    </w:p>
    <w:p w:rsidR="008D54B2" w:rsidRPr="00CB3F88" w:rsidRDefault="00956B66"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6. Evaluación. Se definen los logros y obstáculos que se han ido venciendo, valoración de la aproximación lograda al estado deseado Se considera necesario declarar que basado en esta concepción, se ha realizado el diseño de la estrategia, pero con la particularidad de concebir el objetivo general como punto de partida ya que está presente en todos los momentos de la estrategia, así como la evaluación que se concibe en el momento de la planeación y se materializa en su instrumentación siempre en función del objetivo trazado. Se erige sobre tres dimensiones cognitiva, procedimental y actitudinal; utiliza como eje central la educación de la sexualidad.</w:t>
      </w:r>
    </w:p>
    <w:p w:rsidR="002802D3" w:rsidRPr="00CB3F88" w:rsidRDefault="002802D3"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Planeación estratégica</w:t>
      </w:r>
      <w:r w:rsidR="000657AD" w:rsidRPr="00CB3F88">
        <w:rPr>
          <w:rFonts w:ascii="Times New Roman" w:eastAsia="Calibri" w:hAnsi="Times New Roman" w:cs="Times New Roman"/>
          <w:sz w:val="24"/>
          <w:szCs w:val="24"/>
          <w:lang w:val="es-MX"/>
        </w:rPr>
        <w:t xml:space="preserve">: Objetivo general, </w:t>
      </w:r>
      <w:r w:rsidRPr="00CB3F88">
        <w:rPr>
          <w:rFonts w:ascii="Times New Roman" w:eastAsia="Calibri" w:hAnsi="Times New Roman" w:cs="Times New Roman"/>
          <w:sz w:val="24"/>
          <w:szCs w:val="24"/>
          <w:lang w:val="es-MX"/>
        </w:rPr>
        <w:t>Diagnó</w:t>
      </w:r>
      <w:r w:rsidR="000657AD" w:rsidRPr="00CB3F88">
        <w:rPr>
          <w:rFonts w:ascii="Times New Roman" w:eastAsia="Calibri" w:hAnsi="Times New Roman" w:cs="Times New Roman"/>
          <w:sz w:val="24"/>
          <w:szCs w:val="24"/>
          <w:lang w:val="es-MX"/>
        </w:rPr>
        <w:t xml:space="preserve">stico aplicado a las familias, </w:t>
      </w:r>
      <w:r w:rsidRPr="00CB3F88">
        <w:rPr>
          <w:rFonts w:ascii="Times New Roman" w:eastAsia="Calibri" w:hAnsi="Times New Roman" w:cs="Times New Roman"/>
          <w:sz w:val="24"/>
          <w:szCs w:val="24"/>
          <w:lang w:val="es-MX"/>
        </w:rPr>
        <w:t>Estructura de la estrategia educativa.</w:t>
      </w:r>
    </w:p>
    <w:p w:rsidR="002802D3" w:rsidRPr="00CB3F88" w:rsidRDefault="002802D3"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La planeación estratégica consta de la siguiente estructura didáctica:</w:t>
      </w:r>
    </w:p>
    <w:p w:rsidR="002802D3" w:rsidRPr="00CB3F88" w:rsidRDefault="002802D3"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Acción.</w:t>
      </w:r>
    </w:p>
    <w:p w:rsidR="002802D3" w:rsidRPr="00CB3F88" w:rsidRDefault="002802D3"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Objetivo.</w:t>
      </w:r>
    </w:p>
    <w:p w:rsidR="002802D3" w:rsidRPr="00CB3F88" w:rsidRDefault="002802D3"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Participantes.</w:t>
      </w:r>
    </w:p>
    <w:p w:rsidR="002802D3" w:rsidRPr="00CB3F88" w:rsidRDefault="002802D3"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Responsable.</w:t>
      </w:r>
    </w:p>
    <w:p w:rsidR="008D54B2" w:rsidRPr="00CB3F88" w:rsidRDefault="00DF2E5C" w:rsidP="00CB3F88">
      <w:pPr>
        <w:widowControl w:val="0"/>
        <w:spacing w:after="0" w:line="360" w:lineRule="auto"/>
        <w:jc w:val="both"/>
        <w:rPr>
          <w:rFonts w:ascii="Times New Roman" w:eastAsia="Calibri" w:hAnsi="Times New Roman" w:cs="Times New Roman"/>
          <w:sz w:val="24"/>
          <w:szCs w:val="24"/>
          <w:lang w:val="es-MX"/>
        </w:rPr>
      </w:pPr>
      <w:r w:rsidRPr="00CB3F88">
        <w:rPr>
          <w:rFonts w:ascii="Times New Roman" w:eastAsia="Calibri" w:hAnsi="Times New Roman" w:cs="Times New Roman"/>
          <w:sz w:val="24"/>
          <w:szCs w:val="24"/>
          <w:lang w:val="es-MX"/>
        </w:rPr>
        <w:t>Plazo de realización</w:t>
      </w:r>
      <w:r w:rsidR="002802D3" w:rsidRPr="00CB3F88">
        <w:rPr>
          <w:rFonts w:ascii="Times New Roman" w:eastAsia="Calibri" w:hAnsi="Times New Roman" w:cs="Times New Roman"/>
          <w:sz w:val="24"/>
          <w:szCs w:val="24"/>
          <w:lang w:val="es-MX"/>
        </w:rPr>
        <w:t>.</w:t>
      </w:r>
    </w:p>
    <w:p w:rsidR="00BE15F0" w:rsidRPr="00CB3F88" w:rsidRDefault="00BE15F0" w:rsidP="00CB3F88">
      <w:pPr>
        <w:spacing w:after="0" w:line="360" w:lineRule="auto"/>
        <w:jc w:val="both"/>
        <w:rPr>
          <w:rFonts w:ascii="Times New Roman" w:eastAsia="Arial" w:hAnsi="Times New Roman" w:cs="Times New Roman"/>
          <w:b/>
          <w:sz w:val="24"/>
          <w:szCs w:val="24"/>
        </w:rPr>
      </w:pPr>
      <w:r w:rsidRPr="00CB3F88">
        <w:rPr>
          <w:rFonts w:ascii="Times New Roman" w:eastAsia="Arial" w:hAnsi="Times New Roman" w:cs="Times New Roman"/>
          <w:b/>
          <w:sz w:val="24"/>
          <w:szCs w:val="24"/>
        </w:rPr>
        <w:t>Discusión</w:t>
      </w:r>
    </w:p>
    <w:p w:rsidR="00BE15F0" w:rsidRPr="00CB3F88" w:rsidRDefault="00BE15F0"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La alternativa metodológica seguida, para aplicar el método de evaluación por criterio de expertos, seleccionándose a 33 expertos (con un coeficiente de competencia que se comporta dentro del intervalo: 0,8 a 1) se les aplicó una segunda encuesta para evaluar las acciones de la estrategia y comprobar los resultados hasta ese momento.</w:t>
      </w:r>
    </w:p>
    <w:p w:rsidR="00BE15F0" w:rsidRPr="00CB3F88" w:rsidRDefault="00BE15F0"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El cálculo del coeficiente de argumentación o fundamentación de cada experto se realizó sobre la base de utilizar como factores, Alto (A), Medio (M), Bajo (B).</w:t>
      </w:r>
    </w:p>
    <w:p w:rsidR="00BE15F0" w:rsidRPr="00CB3F88" w:rsidRDefault="00BE15F0"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 xml:space="preserve">El cálculo del coeficiente de competencia, se puede observar que 29 expertos obtuvieron índices superiores a 0.8 considerado alto, 4 obtuvieron índices comprendidos entre 0.8 y 0.5 considerado medio y 2 se consideraron de competencia baja, con índices inferiores a 0.5. En este caso se tomó </w:t>
      </w:r>
      <w:r w:rsidRPr="00CB3F88">
        <w:rPr>
          <w:rFonts w:ascii="Times New Roman" w:eastAsia="Arial" w:hAnsi="Times New Roman" w:cs="Times New Roman"/>
          <w:sz w:val="24"/>
          <w:szCs w:val="24"/>
        </w:rPr>
        <w:lastRenderedPageBreak/>
        <w:t>en consideración las valoraciones cualitativas que estos últimos realizaron, pero no fueron incluidos en el procesamiento estadístico.</w:t>
      </w:r>
    </w:p>
    <w:p w:rsidR="00BE15F0" w:rsidRPr="00CB3F88" w:rsidRDefault="00BE15F0"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 xml:space="preserve">Con el propósito de evaluar la contribución de la  orientación de las familias de los niños de la infancia preescolar, para el desarrollo de la sexualidad </w:t>
      </w:r>
      <w:r w:rsidR="00277053" w:rsidRPr="00CB3F88">
        <w:rPr>
          <w:rFonts w:ascii="Times New Roman" w:eastAsia="Arial" w:hAnsi="Times New Roman" w:cs="Times New Roman"/>
          <w:sz w:val="24"/>
          <w:szCs w:val="24"/>
        </w:rPr>
        <w:t xml:space="preserve">en el </w:t>
      </w:r>
      <w:r w:rsidRPr="00CB3F88">
        <w:rPr>
          <w:rFonts w:ascii="Times New Roman" w:eastAsia="Arial" w:hAnsi="Times New Roman" w:cs="Times New Roman"/>
          <w:sz w:val="24"/>
          <w:szCs w:val="24"/>
        </w:rPr>
        <w:t xml:space="preserve">círculo infantil “Pequeños Camaradas” del municipio Sancti Spíritus, se aplicó un pre-experimento pedagógico de tipo O1 X O2, donde O1 y O2 representan el pre-test y el post-test respectivamente, para la medición de la variable operacional antes y después de la instrumentación de la estrategia educativa. </w:t>
      </w:r>
    </w:p>
    <w:p w:rsidR="00BE15F0" w:rsidRPr="00CB3F88" w:rsidRDefault="00BE15F0"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 xml:space="preserve">Para la aplicación del estímulo experimental se trabajó con una muestra de 26 familias de los niños de la infancia preescolar, para el desarrollo de la sexualidad </w:t>
      </w:r>
      <w:r w:rsidR="00A546FC" w:rsidRPr="00CB3F88">
        <w:rPr>
          <w:rFonts w:ascii="Times New Roman" w:eastAsia="Arial" w:hAnsi="Times New Roman" w:cs="Times New Roman"/>
          <w:sz w:val="24"/>
          <w:szCs w:val="24"/>
        </w:rPr>
        <w:t xml:space="preserve">en </w:t>
      </w:r>
      <w:r w:rsidRPr="00CB3F88">
        <w:rPr>
          <w:rFonts w:ascii="Times New Roman" w:eastAsia="Arial" w:hAnsi="Times New Roman" w:cs="Times New Roman"/>
          <w:sz w:val="24"/>
          <w:szCs w:val="24"/>
        </w:rPr>
        <w:t>el círculo infantil “Pequeños Camaradas” del municipio Sancti Spíritus. Este se realizó durante el curso 2023-2024.</w:t>
      </w:r>
    </w:p>
    <w:p w:rsidR="00BE15F0" w:rsidRPr="00CB3F88" w:rsidRDefault="00BE15F0" w:rsidP="00CB3F88">
      <w:pPr>
        <w:spacing w:after="0"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La evaluación cuantitativa de las dimensiones e indicadores de la variable operacional en las familias de los niños de la infancia preescolar se realizó a partir de una escala valorativa que comprende los niveles: muy bajo (1), bajo (2), medio (3) alto (4) y muy alto (5) que permitió medir los cambios producidos antes y después de la instrumentación de la estrategia educativa.</w:t>
      </w:r>
    </w:p>
    <w:p w:rsidR="008E41D0" w:rsidRPr="00CB3F88" w:rsidRDefault="00BE15F0" w:rsidP="00CB3F88">
      <w:pPr>
        <w:spacing w:line="360" w:lineRule="auto"/>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A partir de los resultados de la consulta de expertos, fue posible valorar la calidad y pertinencia de la estrategia educativa, teniendo en cuenta las sugerencias aportadas por estos. El preexperimento se desarrolló con una etapa de pre-test y post-test estas posibilitaron la evaluación del nivel de orientación de las familias de los niños de la infancia preescolar para el desarrollo de la sexualidad, a partir de la introducción de la estrategia educativa, tomando como referencia el estado de</w:t>
      </w:r>
      <w:r w:rsidR="008E41D0" w:rsidRPr="00CB3F88">
        <w:rPr>
          <w:rFonts w:ascii="Times New Roman" w:eastAsia="Arial" w:hAnsi="Times New Roman" w:cs="Times New Roman"/>
          <w:sz w:val="24"/>
          <w:szCs w:val="24"/>
        </w:rPr>
        <w:t xml:space="preserve"> transformación de las familias.</w:t>
      </w:r>
    </w:p>
    <w:p w:rsidR="002A32CA" w:rsidRPr="00CB3F88" w:rsidRDefault="00FE457E" w:rsidP="006C28FA">
      <w:pPr>
        <w:spacing w:line="360" w:lineRule="auto"/>
        <w:jc w:val="center"/>
        <w:rPr>
          <w:rFonts w:ascii="Times New Roman" w:eastAsia="Arial" w:hAnsi="Times New Roman" w:cs="Times New Roman"/>
          <w:sz w:val="24"/>
          <w:szCs w:val="24"/>
        </w:rPr>
      </w:pPr>
      <w:r w:rsidRPr="00CB3F88">
        <w:rPr>
          <w:rFonts w:ascii="Times New Roman" w:eastAsia="Arial" w:hAnsi="Times New Roman" w:cs="Times New Roman"/>
          <w:b/>
          <w:color w:val="000000"/>
          <w:sz w:val="24"/>
          <w:szCs w:val="24"/>
        </w:rPr>
        <w:t>CONCLUSIONES</w:t>
      </w:r>
    </w:p>
    <w:p w:rsidR="00CB3F88" w:rsidRPr="00CB3F88" w:rsidRDefault="00CB3F88" w:rsidP="00CB3F88">
      <w:pPr>
        <w:spacing w:line="360" w:lineRule="auto"/>
        <w:ind w:right="-1"/>
        <w:jc w:val="both"/>
        <w:rPr>
          <w:rFonts w:ascii="Times New Roman" w:hAnsi="Times New Roman" w:cs="Times New Roman"/>
          <w:b/>
          <w:sz w:val="24"/>
          <w:szCs w:val="24"/>
        </w:rPr>
      </w:pPr>
      <w:r w:rsidRPr="00CB3F88">
        <w:rPr>
          <w:rFonts w:ascii="Times New Roman" w:hAnsi="Times New Roman" w:cs="Times New Roman"/>
          <w:sz w:val="24"/>
          <w:szCs w:val="24"/>
        </w:rPr>
        <w:t xml:space="preserve">Los referentes teóricos analizados permitieron determinar las premisas teóricas relacionadas con el proceso de orientación  de las familias de los niños de la infancia preescolar y  el  desarrollo de la sexualidad con enfoque de género que condicionaron la elaboración de la estrategia educativa  para contribuir  a elevar el nivel de orientación de las familias de los niños de la infancia </w:t>
      </w:r>
      <w:r w:rsidRPr="00CB3F88">
        <w:rPr>
          <w:rFonts w:ascii="Times New Roman" w:hAnsi="Times New Roman" w:cs="Times New Roman"/>
          <w:sz w:val="24"/>
          <w:szCs w:val="24"/>
        </w:rPr>
        <w:lastRenderedPageBreak/>
        <w:t>preescolar, para el desarrollo de la sexualidad con enfoque de género del   círculo infantil “Pequeños Camaradas” del municipio Sancti-Spíritus.</w:t>
      </w:r>
    </w:p>
    <w:p w:rsidR="00CB3F88" w:rsidRPr="00CB3F88" w:rsidRDefault="00CB3F88" w:rsidP="00CB3F88">
      <w:pPr>
        <w:widowControl w:val="0"/>
        <w:tabs>
          <w:tab w:val="left" w:pos="7380"/>
        </w:tabs>
        <w:autoSpaceDE w:val="0"/>
        <w:autoSpaceDN w:val="0"/>
        <w:adjustRightInd w:val="0"/>
        <w:spacing w:before="120" w:after="120" w:line="360" w:lineRule="auto"/>
        <w:ind w:right="-1"/>
        <w:jc w:val="both"/>
        <w:rPr>
          <w:rFonts w:ascii="Times New Roman" w:hAnsi="Times New Roman" w:cs="Times New Roman"/>
          <w:sz w:val="24"/>
          <w:szCs w:val="24"/>
        </w:rPr>
      </w:pPr>
      <w:r w:rsidRPr="00CB3F88">
        <w:rPr>
          <w:rFonts w:ascii="Times New Roman" w:hAnsi="Times New Roman" w:cs="Times New Roman"/>
          <w:sz w:val="24"/>
          <w:szCs w:val="24"/>
        </w:rPr>
        <w:t xml:space="preserve">El diagnóstico aplicado reveló que el trabajo que se realiza en función de la orientación de las familias de los niños de la infancia preescolar para el desarrollo de la sexualidad con enfoque de género </w:t>
      </w:r>
      <w:r w:rsidR="00D567F8">
        <w:rPr>
          <w:rFonts w:ascii="Times New Roman" w:hAnsi="Times New Roman" w:cs="Times New Roman"/>
          <w:sz w:val="24"/>
          <w:szCs w:val="24"/>
        </w:rPr>
        <w:t xml:space="preserve">del  </w:t>
      </w:r>
      <w:r w:rsidRPr="00CB3F88">
        <w:rPr>
          <w:rFonts w:ascii="Times New Roman" w:hAnsi="Times New Roman" w:cs="Times New Roman"/>
          <w:sz w:val="24"/>
          <w:szCs w:val="24"/>
        </w:rPr>
        <w:t xml:space="preserve">círculo infantil Pequeños Camaradas es poco sistemático y coherente lo que origina en las familias  el insuficiente  dominio del conocimiento de las categoríasbásicas, dimensiones y componentes psicológicos de la sexualidad, </w:t>
      </w:r>
      <w:r w:rsidR="00D567F8" w:rsidRPr="00CB3F88">
        <w:rPr>
          <w:rFonts w:ascii="Times New Roman" w:hAnsi="Times New Roman" w:cs="Times New Roman"/>
          <w:sz w:val="24"/>
          <w:szCs w:val="24"/>
        </w:rPr>
        <w:t>así</w:t>
      </w:r>
      <w:r w:rsidRPr="00CB3F88">
        <w:rPr>
          <w:rFonts w:ascii="Times New Roman" w:hAnsi="Times New Roman" w:cs="Times New Roman"/>
          <w:sz w:val="24"/>
          <w:szCs w:val="24"/>
        </w:rPr>
        <w:t xml:space="preserve"> como de las características psicosexuales de los niños de la infancia preescolar y de los problemas familiares relacionados con la educación de la sexualidad. Además, se evidenciaron potencialidades que posibilitaron  la implementación de la propuesta como el interés por el tema, la buena comunicación familias-educadoras y la activa participación en las escuelas de educación familiar </w:t>
      </w:r>
    </w:p>
    <w:p w:rsidR="00CB3F88" w:rsidRPr="00CB3F88" w:rsidRDefault="00CB3F88" w:rsidP="00CB3F88">
      <w:pPr>
        <w:widowControl w:val="0"/>
        <w:tabs>
          <w:tab w:val="left" w:pos="7380"/>
        </w:tabs>
        <w:autoSpaceDE w:val="0"/>
        <w:autoSpaceDN w:val="0"/>
        <w:adjustRightInd w:val="0"/>
        <w:spacing w:before="120" w:after="120" w:line="360" w:lineRule="auto"/>
        <w:ind w:right="-1"/>
        <w:jc w:val="both"/>
        <w:rPr>
          <w:rFonts w:ascii="Times New Roman" w:hAnsi="Times New Roman" w:cs="Times New Roman"/>
          <w:sz w:val="24"/>
          <w:szCs w:val="24"/>
        </w:rPr>
      </w:pPr>
      <w:r w:rsidRPr="00CB3F88">
        <w:rPr>
          <w:rFonts w:ascii="Times New Roman" w:hAnsi="Times New Roman" w:cs="Times New Roman"/>
          <w:sz w:val="24"/>
          <w:szCs w:val="24"/>
        </w:rPr>
        <w:t xml:space="preserve">La estrategia educativa propuesta se sustenta en las siguientes exigencias: propicia a las familias información científica, rigurosa y necesaria sobre educación de la sexualidad con </w:t>
      </w:r>
      <w:r w:rsidR="00D567F8">
        <w:rPr>
          <w:rFonts w:ascii="Times New Roman" w:hAnsi="Times New Roman" w:cs="Times New Roman"/>
          <w:sz w:val="24"/>
          <w:szCs w:val="24"/>
        </w:rPr>
        <w:t>enfoque</w:t>
      </w:r>
      <w:r w:rsidRPr="00CB3F88">
        <w:rPr>
          <w:rFonts w:ascii="Times New Roman" w:hAnsi="Times New Roman" w:cs="Times New Roman"/>
          <w:sz w:val="24"/>
          <w:szCs w:val="24"/>
        </w:rPr>
        <w:t xml:space="preserve"> de género</w:t>
      </w:r>
      <w:r w:rsidR="00D567F8">
        <w:rPr>
          <w:rFonts w:ascii="Times New Roman" w:hAnsi="Times New Roman" w:cs="Times New Roman"/>
          <w:sz w:val="24"/>
          <w:szCs w:val="24"/>
        </w:rPr>
        <w:t xml:space="preserve">, </w:t>
      </w:r>
      <w:r w:rsidRPr="00CB3F88">
        <w:rPr>
          <w:rFonts w:ascii="Times New Roman" w:hAnsi="Times New Roman" w:cs="Times New Roman"/>
          <w:sz w:val="24"/>
          <w:szCs w:val="24"/>
        </w:rPr>
        <w:t xml:space="preserve">empleo de métodos  pedagógicos basados en la participación activa de las familias,  involucra en la orientación a las familias en educación de la sexualidad a otros actores de la comunidad, carácter humanista y participativo, </w:t>
      </w:r>
      <w:r w:rsidRPr="00CB3F88">
        <w:rPr>
          <w:rFonts w:ascii="Times New Roman" w:hAnsi="Times New Roman" w:cs="Times New Roman"/>
          <w:bCs/>
          <w:sz w:val="24"/>
          <w:szCs w:val="24"/>
        </w:rPr>
        <w:t xml:space="preserve">contribuye  a fortalecer valores, actitudes personales y normas  en las familias, por la </w:t>
      </w:r>
      <w:r w:rsidRPr="00CB3F88">
        <w:rPr>
          <w:rFonts w:ascii="Times New Roman" w:hAnsi="Times New Roman" w:cs="Times New Roman"/>
          <w:sz w:val="24"/>
          <w:szCs w:val="24"/>
        </w:rPr>
        <w:t xml:space="preserve">creación de  espacios de reflexión, </w:t>
      </w:r>
      <w:r w:rsidR="00D567F8" w:rsidRPr="00CB3F88">
        <w:rPr>
          <w:rFonts w:ascii="Times New Roman" w:hAnsi="Times New Roman" w:cs="Times New Roman"/>
          <w:sz w:val="24"/>
          <w:szCs w:val="24"/>
        </w:rPr>
        <w:t>así</w:t>
      </w:r>
      <w:r w:rsidRPr="00CB3F88">
        <w:rPr>
          <w:rFonts w:ascii="Times New Roman" w:hAnsi="Times New Roman" w:cs="Times New Roman"/>
          <w:sz w:val="24"/>
          <w:szCs w:val="24"/>
        </w:rPr>
        <w:t xml:space="preserve"> como por la creación de ambientes donde el valor funcione como condición y contexto para producir cambios en las familias.</w:t>
      </w:r>
    </w:p>
    <w:p w:rsidR="00CB3F88" w:rsidRPr="00CB3F88" w:rsidRDefault="00CB3F88" w:rsidP="00CB3F88">
      <w:pPr>
        <w:spacing w:line="360" w:lineRule="auto"/>
        <w:ind w:right="-1"/>
        <w:jc w:val="both"/>
        <w:rPr>
          <w:rFonts w:ascii="Times New Roman" w:hAnsi="Times New Roman" w:cs="Times New Roman"/>
          <w:sz w:val="24"/>
          <w:szCs w:val="24"/>
        </w:rPr>
      </w:pPr>
      <w:r w:rsidRPr="00CB3F88">
        <w:rPr>
          <w:rFonts w:ascii="Times New Roman" w:hAnsi="Times New Roman" w:cs="Times New Roman"/>
          <w:sz w:val="24"/>
          <w:szCs w:val="24"/>
        </w:rPr>
        <w:t>Los expertos certificaron que las dimensiones e indicadores propuestos, así como las acciones de la estrategia educativa, son aplicables en orientación de las familias de los niños de la infancia preescolar para el desarrollo de la sexualidad con enfoque de género.</w:t>
      </w:r>
    </w:p>
    <w:p w:rsidR="00D567F8" w:rsidRDefault="00CB3F88" w:rsidP="00CB3F88">
      <w:pPr>
        <w:spacing w:line="360" w:lineRule="auto"/>
        <w:ind w:right="-1"/>
        <w:jc w:val="both"/>
        <w:rPr>
          <w:rFonts w:ascii="Times New Roman" w:hAnsi="Times New Roman" w:cs="Times New Roman"/>
          <w:sz w:val="24"/>
          <w:szCs w:val="24"/>
        </w:rPr>
      </w:pPr>
      <w:r w:rsidRPr="00CB3F88">
        <w:rPr>
          <w:rFonts w:ascii="Times New Roman" w:hAnsi="Times New Roman" w:cs="Times New Roman"/>
          <w:sz w:val="24"/>
          <w:szCs w:val="24"/>
        </w:rPr>
        <w:t xml:space="preserve">La evaluación de la estrategia propuesta mediante un pre-experimento pedagógico demostró su contribución a la orientación de las familias de los niños de la infancia preescolar para el </w:t>
      </w:r>
      <w:r w:rsidRPr="00CB3F88">
        <w:rPr>
          <w:rFonts w:ascii="Times New Roman" w:hAnsi="Times New Roman" w:cs="Times New Roman"/>
          <w:sz w:val="24"/>
          <w:szCs w:val="24"/>
        </w:rPr>
        <w:lastRenderedPageBreak/>
        <w:t xml:space="preserve">desarrollo de la sexualidad con enfoque de género ya que se produjo un cambio significativo en los niveles declarados, pues de un estado inicial bajo, en la evaluación general de la variable, se transitó a un estado final muy alto. Lo expuesto se evidenció la adquisición de conocimientos, habilidades y actitudes relacionadas con la sexualidad, lo cual se revertirá en una sexualidad libre de estereotipos sexistas. </w:t>
      </w:r>
    </w:p>
    <w:p w:rsidR="00CB3F88" w:rsidRPr="00D567F8" w:rsidRDefault="00CB3F88" w:rsidP="006C28FA">
      <w:pPr>
        <w:spacing w:line="360" w:lineRule="auto"/>
        <w:ind w:right="-1"/>
        <w:jc w:val="center"/>
        <w:rPr>
          <w:rFonts w:ascii="Times New Roman" w:hAnsi="Times New Roman" w:cs="Times New Roman"/>
          <w:sz w:val="24"/>
          <w:szCs w:val="24"/>
        </w:rPr>
      </w:pPr>
      <w:r w:rsidRPr="00CB3F88">
        <w:rPr>
          <w:rFonts w:ascii="Times New Roman" w:hAnsi="Times New Roman" w:cs="Times New Roman"/>
          <w:b/>
          <w:sz w:val="24"/>
          <w:szCs w:val="24"/>
        </w:rPr>
        <w:t>BIBLIOGRAFIA</w:t>
      </w:r>
    </w:p>
    <w:p w:rsidR="000A3199" w:rsidRPr="00CB3F88" w:rsidRDefault="000A3199" w:rsidP="00CB3F88">
      <w:pPr>
        <w:spacing w:after="0" w:line="360" w:lineRule="auto"/>
        <w:ind w:left="709" w:hanging="709"/>
        <w:jc w:val="both"/>
        <w:rPr>
          <w:rFonts w:ascii="Times New Roman" w:hAnsi="Times New Roman" w:cs="Times New Roman"/>
          <w:sz w:val="24"/>
          <w:szCs w:val="24"/>
        </w:rPr>
      </w:pPr>
      <w:r w:rsidRPr="00CB3F88">
        <w:rPr>
          <w:rFonts w:ascii="Times New Roman" w:eastAsia="Arial" w:hAnsi="Times New Roman" w:cs="Times New Roman"/>
          <w:sz w:val="24"/>
          <w:szCs w:val="24"/>
        </w:rPr>
        <w:t xml:space="preserve">Almarales Hidalgo, M., García Gutiérrez, A., y Santiesteban Naranjo, E. (2020). </w:t>
      </w:r>
      <w:r w:rsidRPr="006C28FA">
        <w:rPr>
          <w:rFonts w:ascii="Times New Roman" w:eastAsia="Arial" w:hAnsi="Times New Roman" w:cs="Times New Roman"/>
          <w:i/>
          <w:sz w:val="24"/>
          <w:szCs w:val="24"/>
        </w:rPr>
        <w:t>La orientación educativa en la formación de la habilidad argumentar en los estudiantes de Pedagogía-Psicología.</w:t>
      </w:r>
      <w:r w:rsidRPr="00CB3F88">
        <w:rPr>
          <w:rFonts w:ascii="Times New Roman" w:eastAsia="Arial" w:hAnsi="Times New Roman" w:cs="Times New Roman"/>
          <w:sz w:val="24"/>
          <w:szCs w:val="24"/>
        </w:rPr>
        <w:t xml:space="preserve"> </w:t>
      </w:r>
      <w:r w:rsidRPr="00CB3F88">
        <w:rPr>
          <w:rFonts w:ascii="Times New Roman" w:eastAsia="Arial" w:hAnsi="Times New Roman" w:cs="Times New Roman"/>
          <w:i/>
          <w:sz w:val="24"/>
          <w:szCs w:val="24"/>
        </w:rPr>
        <w:t>Luz, 19</w:t>
      </w:r>
      <w:r w:rsidRPr="00CB3F88">
        <w:rPr>
          <w:rFonts w:ascii="Times New Roman" w:eastAsia="Arial" w:hAnsi="Times New Roman" w:cs="Times New Roman"/>
          <w:sz w:val="24"/>
          <w:szCs w:val="24"/>
        </w:rPr>
        <w:t xml:space="preserve">(1),123-130. </w:t>
      </w:r>
      <w:hyperlink r:id="rId11">
        <w:r w:rsidRPr="00CB3F88">
          <w:rPr>
            <w:rFonts w:ascii="Times New Roman" w:eastAsia="Arial" w:hAnsi="Times New Roman" w:cs="Times New Roman"/>
            <w:color w:val="0000FF"/>
            <w:sz w:val="24"/>
            <w:szCs w:val="24"/>
            <w:u w:val="single"/>
          </w:rPr>
          <w:t>https://www.redalyc.org/journal/5891/589161654013/589161654013.pdf</w:t>
        </w:r>
      </w:hyperlink>
    </w:p>
    <w:p w:rsidR="000A3199" w:rsidRPr="006932E4" w:rsidRDefault="000A3199" w:rsidP="00CB3F88">
      <w:pPr>
        <w:spacing w:after="0" w:line="360" w:lineRule="auto"/>
        <w:ind w:left="709" w:hanging="709"/>
        <w:jc w:val="both"/>
        <w:rPr>
          <w:rFonts w:ascii="Times New Roman" w:eastAsia="Arial" w:hAnsi="Times New Roman" w:cs="Times New Roman"/>
          <w:color w:val="5D4AE6"/>
          <w:sz w:val="24"/>
          <w:szCs w:val="24"/>
          <w:lang w:val="en-US"/>
        </w:rPr>
      </w:pPr>
      <w:r w:rsidRPr="00CB3F88">
        <w:rPr>
          <w:rFonts w:ascii="Times New Roman" w:eastAsia="Arial" w:hAnsi="Times New Roman" w:cs="Times New Roman"/>
          <w:sz w:val="24"/>
          <w:szCs w:val="24"/>
        </w:rPr>
        <w:t xml:space="preserve">Campos Barrionuevo, B. (2020). La familia como agente interactivo en los procesos educativos. Factor de inclusión y calidad escolar(es) I. </w:t>
      </w:r>
      <w:r w:rsidRPr="00CB3F88">
        <w:rPr>
          <w:rFonts w:ascii="Times New Roman" w:eastAsia="Arial" w:hAnsi="Times New Roman" w:cs="Times New Roman"/>
          <w:i/>
          <w:sz w:val="24"/>
          <w:szCs w:val="24"/>
        </w:rPr>
        <w:t xml:space="preserve">Revista Nacional e Internacional de Educación Inclusiva, </w:t>
      </w:r>
      <w:hyperlink r:id="rId12">
        <w:r w:rsidRPr="00CB3F88">
          <w:rPr>
            <w:rFonts w:ascii="Times New Roman" w:eastAsia="Arial" w:hAnsi="Times New Roman" w:cs="Times New Roman"/>
            <w:i/>
            <w:sz w:val="24"/>
            <w:szCs w:val="24"/>
          </w:rPr>
          <w:t>13 (</w:t>
        </w:r>
      </w:hyperlink>
      <w:hyperlink r:id="rId13">
        <w:r w:rsidRPr="00CB3F88">
          <w:rPr>
            <w:rFonts w:ascii="Times New Roman" w:eastAsia="Arial" w:hAnsi="Times New Roman" w:cs="Times New Roman"/>
            <w:sz w:val="24"/>
            <w:szCs w:val="24"/>
          </w:rPr>
          <w:t>2</w:t>
        </w:r>
      </w:hyperlink>
      <w:r w:rsidRPr="00CB3F88">
        <w:rPr>
          <w:rFonts w:ascii="Times New Roman" w:eastAsia="Arial" w:hAnsi="Times New Roman" w:cs="Times New Roman"/>
          <w:sz w:val="24"/>
          <w:szCs w:val="24"/>
        </w:rPr>
        <w:t xml:space="preserve">). </w:t>
      </w:r>
      <w:hyperlink r:id="rId14">
        <w:r w:rsidRPr="006932E4">
          <w:rPr>
            <w:rFonts w:ascii="Times New Roman" w:eastAsia="Arial" w:hAnsi="Times New Roman" w:cs="Times New Roman"/>
            <w:color w:val="0000FF"/>
            <w:sz w:val="24"/>
            <w:szCs w:val="24"/>
            <w:u w:val="single"/>
            <w:lang w:val="en-US"/>
          </w:rPr>
          <w:t>https://revistaeducacioninclusiva.es/index.php/REI/article/view/589</w:t>
        </w:r>
      </w:hyperlink>
    </w:p>
    <w:p w:rsidR="000A3199" w:rsidRPr="00CB3F88" w:rsidRDefault="000A3199" w:rsidP="00CB3F88">
      <w:pPr>
        <w:spacing w:after="0" w:line="360" w:lineRule="auto"/>
        <w:ind w:left="709" w:hanging="709"/>
        <w:jc w:val="both"/>
        <w:rPr>
          <w:rFonts w:ascii="Times New Roman" w:eastAsia="Arial" w:hAnsi="Times New Roman" w:cs="Times New Roman"/>
          <w:color w:val="FF0000"/>
          <w:sz w:val="24"/>
          <w:szCs w:val="24"/>
        </w:rPr>
      </w:pPr>
      <w:r w:rsidRPr="006932E4">
        <w:rPr>
          <w:rFonts w:ascii="Times New Roman" w:eastAsia="Arial" w:hAnsi="Times New Roman" w:cs="Times New Roman"/>
          <w:sz w:val="24"/>
          <w:szCs w:val="24"/>
          <w:lang w:val="en-US"/>
        </w:rPr>
        <w:t xml:space="preserve">Castellanos Bernal, G. (2017). </w:t>
      </w:r>
      <w:r w:rsidRPr="00CB3F88">
        <w:rPr>
          <w:rFonts w:ascii="Times New Roman" w:eastAsia="Arial" w:hAnsi="Times New Roman" w:cs="Times New Roman"/>
          <w:sz w:val="24"/>
          <w:szCs w:val="24"/>
        </w:rPr>
        <w:t xml:space="preserve">La orientación familiar como experiencia pedagógica. </w:t>
      </w:r>
      <w:r w:rsidRPr="00CB3F88">
        <w:rPr>
          <w:rFonts w:ascii="Times New Roman" w:eastAsia="Arial" w:hAnsi="Times New Roman" w:cs="Times New Roman"/>
          <w:i/>
          <w:sz w:val="24"/>
          <w:szCs w:val="24"/>
        </w:rPr>
        <w:t>Revista Panamericana De Pedagogía,</w:t>
      </w:r>
      <w:r w:rsidRPr="00CB3F88">
        <w:rPr>
          <w:rFonts w:ascii="Times New Roman" w:eastAsia="Arial" w:hAnsi="Times New Roman" w:cs="Times New Roman"/>
          <w:sz w:val="24"/>
          <w:szCs w:val="24"/>
        </w:rPr>
        <w:t xml:space="preserve"> (25). </w:t>
      </w:r>
      <w:hyperlink r:id="rId15">
        <w:r w:rsidRPr="00CB3F88">
          <w:rPr>
            <w:rFonts w:ascii="Times New Roman" w:eastAsia="Arial" w:hAnsi="Times New Roman" w:cs="Times New Roman"/>
            <w:color w:val="0000FF"/>
            <w:sz w:val="24"/>
            <w:szCs w:val="24"/>
            <w:u w:val="single"/>
          </w:rPr>
          <w:t>https://doi.org/10.21555/rpp.v0i25.1687</w:t>
        </w:r>
      </w:hyperlink>
    </w:p>
    <w:p w:rsidR="000A3199" w:rsidRPr="00CB3F88" w:rsidRDefault="000A3199" w:rsidP="00CB3F88">
      <w:pPr>
        <w:spacing w:after="0" w:line="360" w:lineRule="auto"/>
        <w:ind w:left="709" w:hanging="709"/>
        <w:jc w:val="both"/>
        <w:rPr>
          <w:rFonts w:ascii="Times New Roman" w:eastAsia="Arial" w:hAnsi="Times New Roman" w:cs="Times New Roman"/>
          <w:color w:val="0000FF"/>
          <w:sz w:val="24"/>
          <w:szCs w:val="24"/>
          <w:u w:val="single"/>
        </w:rPr>
      </w:pPr>
      <w:r w:rsidRPr="00CB3F88">
        <w:rPr>
          <w:rFonts w:ascii="Times New Roman" w:eastAsia="Arial" w:hAnsi="Times New Roman" w:cs="Times New Roman"/>
          <w:sz w:val="24"/>
          <w:szCs w:val="24"/>
        </w:rPr>
        <w:t xml:space="preserve">Chambala Dos Santos, E. O., Díaz Vera, E., y Rodríguez Figueroa, A. (2020). La orientación familiar para estimular el aprendizaje social de los escolares de la escuela primaria. </w:t>
      </w:r>
      <w:r w:rsidRPr="00CB3F88">
        <w:rPr>
          <w:rFonts w:ascii="Times New Roman" w:eastAsia="Arial" w:hAnsi="Times New Roman" w:cs="Times New Roman"/>
          <w:i/>
          <w:sz w:val="24"/>
          <w:szCs w:val="24"/>
        </w:rPr>
        <w:t>Revista Científica, Cultura, Comunicación y Desarrollo, 5</w:t>
      </w:r>
      <w:r w:rsidRPr="00CB3F88">
        <w:rPr>
          <w:rFonts w:ascii="Times New Roman" w:eastAsia="Arial" w:hAnsi="Times New Roman" w:cs="Times New Roman"/>
          <w:sz w:val="24"/>
          <w:szCs w:val="24"/>
        </w:rPr>
        <w:t xml:space="preserve">(2), 51-58. </w:t>
      </w:r>
      <w:hyperlink r:id="rId16">
        <w:r w:rsidRPr="00CB3F88">
          <w:rPr>
            <w:rFonts w:ascii="Times New Roman" w:eastAsia="Arial" w:hAnsi="Times New Roman" w:cs="Times New Roman"/>
            <w:color w:val="0000FF"/>
            <w:sz w:val="24"/>
            <w:szCs w:val="24"/>
            <w:u w:val="single"/>
          </w:rPr>
          <w:t>https://rccd.ucf.edu.cu/index.php/aes/article/view/239</w:t>
        </w:r>
      </w:hyperlink>
    </w:p>
    <w:p w:rsidR="000A3199" w:rsidRPr="00CB3F88" w:rsidRDefault="000A3199" w:rsidP="00CB3F88">
      <w:pPr>
        <w:spacing w:after="0" w:line="360" w:lineRule="auto"/>
        <w:ind w:left="709" w:hanging="709"/>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 xml:space="preserve">Pérez Triana, A. C., Díaz Cardoso, M., Chang Suárez, O., Naranjo Fagundo, D., y Montiel Díaz, L. (2023). </w:t>
      </w:r>
      <w:r w:rsidRPr="00CB3F88">
        <w:rPr>
          <w:rFonts w:ascii="Times New Roman" w:eastAsia="Arial" w:hAnsi="Times New Roman" w:cs="Times New Roman"/>
          <w:i/>
          <w:sz w:val="24"/>
          <w:szCs w:val="24"/>
        </w:rPr>
        <w:t>La orientación a las familias para el tratamiento de la hiperactividad en los educandos con discapacidad intelectual de noveno grado.</w:t>
      </w:r>
      <w:r w:rsidRPr="00CB3F88">
        <w:rPr>
          <w:rFonts w:ascii="Times New Roman" w:eastAsia="Arial" w:hAnsi="Times New Roman" w:cs="Times New Roman"/>
          <w:sz w:val="24"/>
          <w:szCs w:val="24"/>
        </w:rPr>
        <w:t xml:space="preserve"> Monografías. Universidad de Matanzas, </w:t>
      </w:r>
      <w:hyperlink r:id="rId17">
        <w:r w:rsidRPr="00CB3F88">
          <w:rPr>
            <w:rFonts w:ascii="Times New Roman" w:eastAsia="Arial" w:hAnsi="Times New Roman" w:cs="Times New Roman"/>
            <w:color w:val="0000FF"/>
            <w:sz w:val="24"/>
            <w:szCs w:val="24"/>
            <w:u w:val="single"/>
          </w:rPr>
          <w:t>https://rein.umcc.cu/bitstream/handle/123456789/3040/Mon23-Melba.pdf?sequence=1&amp;isAllowed=y</w:t>
        </w:r>
      </w:hyperlink>
    </w:p>
    <w:p w:rsidR="000A3199" w:rsidRPr="00CB3F88" w:rsidRDefault="000A3199" w:rsidP="00CB3F88">
      <w:pPr>
        <w:spacing w:after="0" w:line="360" w:lineRule="auto"/>
        <w:ind w:left="709" w:hanging="709"/>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lastRenderedPageBreak/>
        <w:t>Reátegui Reátegui, L. (2019). La educación sexual en la primera infancia. En: Trabajo académico presentado para optar el Título de Segunda Especialidad Profesional en E</w:t>
      </w:r>
      <w:bookmarkStart w:id="0" w:name="_GoBack"/>
      <w:bookmarkEnd w:id="0"/>
      <w:r w:rsidRPr="00CB3F88">
        <w:rPr>
          <w:rFonts w:ascii="Times New Roman" w:eastAsia="Arial" w:hAnsi="Times New Roman" w:cs="Times New Roman"/>
          <w:sz w:val="24"/>
          <w:szCs w:val="24"/>
        </w:rPr>
        <w:t xml:space="preserve">ducación Inicial. Facultad de Ciencias Sociales. Escuela Profesional de Educación. Universidad Nacional de Tumbes, Perú. </w:t>
      </w:r>
      <w:hyperlink r:id="rId18">
        <w:r w:rsidRPr="00CB3F88">
          <w:rPr>
            <w:rFonts w:ascii="Times New Roman" w:eastAsia="Arial" w:hAnsi="Times New Roman" w:cs="Times New Roman"/>
            <w:color w:val="0000FF"/>
            <w:sz w:val="24"/>
            <w:szCs w:val="24"/>
            <w:u w:val="single"/>
          </w:rPr>
          <w:t>https://scholar.google.es/scholar?hl=es&amp;as_sdt=0%2C5&amp;q=Re%C3%A1tegui+Re%C3%A1tegui%2C+L.+%282019%29&amp;btnG</w:t>
        </w:r>
      </w:hyperlink>
      <w:r w:rsidRPr="00CB3F88">
        <w:rPr>
          <w:rFonts w:ascii="Times New Roman" w:eastAsia="Arial" w:hAnsi="Times New Roman" w:cs="Times New Roman"/>
          <w:sz w:val="24"/>
          <w:szCs w:val="24"/>
        </w:rPr>
        <w:t xml:space="preserve">=      </w:t>
      </w:r>
    </w:p>
    <w:p w:rsidR="000A3199" w:rsidRPr="00CB3F88" w:rsidRDefault="000A3199" w:rsidP="00CB3F88">
      <w:pPr>
        <w:spacing w:after="0" w:line="360" w:lineRule="auto"/>
        <w:ind w:left="709" w:hanging="709"/>
        <w:jc w:val="both"/>
        <w:rPr>
          <w:rFonts w:ascii="Times New Roman" w:eastAsia="Arial" w:hAnsi="Times New Roman" w:cs="Times New Roman"/>
          <w:sz w:val="24"/>
          <w:szCs w:val="24"/>
        </w:rPr>
      </w:pPr>
      <w:r w:rsidRPr="00CB3F88">
        <w:rPr>
          <w:rFonts w:ascii="Times New Roman" w:eastAsia="Arial" w:hAnsi="Times New Roman" w:cs="Times New Roman"/>
          <w:sz w:val="24"/>
          <w:szCs w:val="24"/>
        </w:rPr>
        <w:t>Rodríguez del Castillo, M. A y Rodríguez Palacios, A (2011). “La estrategia como resultado científico de la investigación educativa”. En: Resultados  científicos  de  la  investigación  educativa (De Armas, N., Valle, A). La Habana. Editorial Pueblo y Educación.</w:t>
      </w:r>
    </w:p>
    <w:p w:rsidR="000A3199" w:rsidRPr="00CB3F88" w:rsidRDefault="000A3199" w:rsidP="00CB3F88">
      <w:pPr>
        <w:widowControl w:val="0"/>
        <w:spacing w:line="360" w:lineRule="auto"/>
        <w:jc w:val="both"/>
        <w:rPr>
          <w:rFonts w:ascii="Times New Roman" w:eastAsia="Calibri" w:hAnsi="Times New Roman" w:cs="Times New Roman"/>
          <w:b/>
          <w:color w:val="FF0000"/>
          <w:sz w:val="24"/>
          <w:szCs w:val="24"/>
          <w:lang w:val="es-MX"/>
        </w:rPr>
      </w:pPr>
      <w:bookmarkStart w:id="1" w:name="_gjdgxs" w:colFirst="0" w:colLast="0"/>
      <w:bookmarkEnd w:id="1"/>
      <w:r w:rsidRPr="00CB3F88">
        <w:rPr>
          <w:rFonts w:ascii="Times New Roman" w:eastAsia="Arial" w:hAnsi="Times New Roman" w:cs="Times New Roman"/>
          <w:sz w:val="24"/>
          <w:szCs w:val="24"/>
        </w:rPr>
        <w:t xml:space="preserve">Vargas Fernández, M., Cabezas Salmon, M., y Caballero Rodríguez, A. N. (2023). La orientación familiar, su posicionamiento teórico e impacto en la relación escuela-familia-comunidad. </w:t>
      </w:r>
      <w:r w:rsidRPr="00CB3F88">
        <w:rPr>
          <w:rFonts w:ascii="Times New Roman" w:eastAsia="Arial" w:hAnsi="Times New Roman" w:cs="Times New Roman"/>
          <w:i/>
          <w:color w:val="0000FF"/>
          <w:sz w:val="24"/>
          <w:szCs w:val="24"/>
        </w:rPr>
        <w:t>EduSol, 23</w:t>
      </w:r>
      <w:r w:rsidRPr="00CB3F88">
        <w:rPr>
          <w:rFonts w:ascii="Times New Roman" w:eastAsia="Arial" w:hAnsi="Times New Roman" w:cs="Times New Roman"/>
          <w:color w:val="0000FF"/>
          <w:sz w:val="24"/>
          <w:szCs w:val="24"/>
        </w:rPr>
        <w:t xml:space="preserve">(82), 121-129. </w:t>
      </w:r>
      <w:hyperlink r:id="rId19">
        <w:r w:rsidRPr="00CB3F88">
          <w:rPr>
            <w:rFonts w:ascii="Times New Roman" w:eastAsia="Arial" w:hAnsi="Times New Roman" w:cs="Times New Roman"/>
            <w:color w:val="0000FF"/>
            <w:sz w:val="24"/>
            <w:szCs w:val="24"/>
            <w:u w:val="single"/>
          </w:rPr>
          <w:t>http://scielo.sld.cu/scielo.php?script=sci_arttext&amp;pid=S1729-80912023000100121&amp;lng=es&amp;tlng=es</w:t>
        </w:r>
      </w:hyperlink>
    </w:p>
    <w:p w:rsidR="006C28FA" w:rsidRDefault="00A41E4A" w:rsidP="00CB3F88">
      <w:pPr>
        <w:widowControl w:val="0"/>
        <w:spacing w:after="120" w:line="360" w:lineRule="auto"/>
        <w:jc w:val="both"/>
        <w:rPr>
          <w:rFonts w:ascii="Times New Roman" w:eastAsia="Times New Roman" w:hAnsi="Times New Roman" w:cs="Times New Roman"/>
          <w:b/>
          <w:sz w:val="24"/>
          <w:szCs w:val="24"/>
          <w:lang w:eastAsia="es-ES"/>
        </w:rPr>
      </w:pPr>
      <w:r w:rsidRPr="00CB3F88">
        <w:rPr>
          <w:rFonts w:ascii="Times New Roman" w:eastAsia="Times New Roman" w:hAnsi="Times New Roman" w:cs="Times New Roman"/>
          <w:b/>
          <w:sz w:val="24"/>
          <w:szCs w:val="24"/>
          <w:lang w:eastAsia="es-ES"/>
        </w:rPr>
        <w:t xml:space="preserve">DECLARACIÓN DE CONFLICTO Y CONTRIBUCIÓN DE LOS AUTORES </w:t>
      </w:r>
    </w:p>
    <w:p w:rsidR="00970FEA" w:rsidRDefault="00D1304F" w:rsidP="00970FEA">
      <w:pPr>
        <w:widowControl w:val="0"/>
        <w:spacing w:after="120" w:line="360" w:lineRule="auto"/>
        <w:jc w:val="both"/>
        <w:rPr>
          <w:rFonts w:ascii="Times New Roman" w:eastAsia="Times New Roman" w:hAnsi="Times New Roman" w:cs="Times New Roman"/>
          <w:sz w:val="24"/>
          <w:szCs w:val="24"/>
          <w:lang w:eastAsia="es-ES"/>
        </w:rPr>
      </w:pPr>
      <w:r w:rsidRPr="00CB3F88">
        <w:rPr>
          <w:rFonts w:ascii="Times New Roman" w:eastAsia="Times New Roman" w:hAnsi="Times New Roman" w:cs="Times New Roman"/>
          <w:sz w:val="24"/>
          <w:szCs w:val="24"/>
          <w:lang w:eastAsia="es-ES"/>
        </w:rPr>
        <w:t xml:space="preserve">Los autores declaran no tener conflicto de interés. </w:t>
      </w:r>
    </w:p>
    <w:p w:rsidR="00970FEA" w:rsidRPr="00970FEA" w:rsidRDefault="00970FEA" w:rsidP="00970FEA">
      <w:pPr>
        <w:widowControl w:val="0"/>
        <w:spacing w:after="120" w:line="360" w:lineRule="auto"/>
        <w:jc w:val="both"/>
        <w:rPr>
          <w:rFonts w:ascii="Times New Roman" w:eastAsia="Times New Roman" w:hAnsi="Times New Roman" w:cs="Times New Roman"/>
          <w:sz w:val="24"/>
          <w:szCs w:val="24"/>
          <w:lang w:eastAsia="es-ES"/>
        </w:rPr>
      </w:pPr>
      <w:r w:rsidRPr="00CB3F88">
        <w:rPr>
          <w:rFonts w:ascii="Times New Roman" w:hAnsi="Times New Roman" w:cs="Times New Roman"/>
          <w:sz w:val="24"/>
          <w:szCs w:val="24"/>
        </w:rPr>
        <w:t xml:space="preserve">M. Sc. </w:t>
      </w:r>
      <w:r>
        <w:rPr>
          <w:rFonts w:ascii="Times New Roman" w:hAnsi="Times New Roman" w:cs="Times New Roman"/>
          <w:sz w:val="24"/>
          <w:szCs w:val="24"/>
        </w:rPr>
        <w:t xml:space="preserve">Madelys Rodríguez Nodal: </w:t>
      </w:r>
      <w:r>
        <w:rPr>
          <w:rFonts w:ascii="Times New Roman" w:eastAsia="Times New Roman" w:hAnsi="Times New Roman" w:cs="Times New Roman"/>
          <w:sz w:val="24"/>
        </w:rPr>
        <w:t>búsqueda y compilación bibliográfica sobre el tema, valoración, redacción de primera versión del artículo, asesoramiento general por la temática abordada, determinación de citas, referencias e imágenes.</w:t>
      </w:r>
    </w:p>
    <w:p w:rsidR="00970FEA" w:rsidRDefault="00970FEA" w:rsidP="00970FEA">
      <w:pPr>
        <w:spacing w:before="120" w:after="120" w:line="360" w:lineRule="auto"/>
        <w:ind w:left="-284"/>
        <w:jc w:val="both"/>
        <w:rPr>
          <w:rFonts w:ascii="Times New Roman" w:eastAsia="Times New Roman" w:hAnsi="Times New Roman" w:cs="Times New Roman"/>
          <w:sz w:val="24"/>
        </w:rPr>
      </w:pPr>
      <w:r w:rsidRPr="00DD04DA">
        <w:rPr>
          <w:rFonts w:ascii="Times New Roman" w:hAnsi="Times New Roman" w:cs="Times New Roman"/>
          <w:sz w:val="24"/>
          <w:szCs w:val="24"/>
        </w:rPr>
        <w:t xml:space="preserve">M. Sc. </w:t>
      </w:r>
      <w:r>
        <w:rPr>
          <w:rFonts w:ascii="Times New Roman" w:hAnsi="Times New Roman" w:cs="Times New Roman"/>
          <w:sz w:val="24"/>
          <w:szCs w:val="24"/>
        </w:rPr>
        <w:t xml:space="preserve">Manuel Ernesto Horta Sánchez: </w:t>
      </w:r>
      <w:r>
        <w:rPr>
          <w:rFonts w:ascii="Times New Roman" w:eastAsia="Times New Roman" w:hAnsi="Times New Roman" w:cs="Times New Roman"/>
          <w:sz w:val="24"/>
        </w:rPr>
        <w:t>revisión de diferentes versiones del artículo y de la versión final del artículo, participación directa en la comunidad como ejecutora de actividades.</w:t>
      </w:r>
    </w:p>
    <w:p w:rsidR="00970FEA" w:rsidRPr="00DD04DA" w:rsidRDefault="00970FEA" w:rsidP="00970FEA">
      <w:pPr>
        <w:widowControl w:val="0"/>
        <w:spacing w:after="0" w:line="360" w:lineRule="auto"/>
        <w:jc w:val="both"/>
        <w:rPr>
          <w:rFonts w:ascii="Times New Roman" w:hAnsi="Times New Roman" w:cs="Times New Roman"/>
          <w:sz w:val="24"/>
          <w:szCs w:val="24"/>
        </w:rPr>
      </w:pPr>
    </w:p>
    <w:p w:rsidR="00531D56" w:rsidRPr="00CB3F88" w:rsidRDefault="00531D56" w:rsidP="00CB3F88">
      <w:pPr>
        <w:spacing w:line="360" w:lineRule="auto"/>
        <w:jc w:val="both"/>
        <w:rPr>
          <w:rFonts w:ascii="Times New Roman" w:hAnsi="Times New Roman" w:cs="Times New Roman"/>
          <w:sz w:val="24"/>
          <w:szCs w:val="24"/>
        </w:rPr>
      </w:pPr>
    </w:p>
    <w:sectPr w:rsidR="00531D56" w:rsidRPr="00CB3F88" w:rsidSect="006932E4">
      <w:headerReference w:type="default" r:id="rId20"/>
      <w:footerReference w:type="default" r:id="rId21"/>
      <w:pgSz w:w="12240" w:h="15840"/>
      <w:pgMar w:top="1980" w:right="1440" w:bottom="2970" w:left="1350" w:header="810" w:footer="451" w:gutter="0"/>
      <w:pgNumType w:start="6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CDB" w:rsidRDefault="00492CDB" w:rsidP="00531D56">
      <w:pPr>
        <w:spacing w:after="0" w:line="240" w:lineRule="auto"/>
      </w:pPr>
      <w:r>
        <w:separator/>
      </w:r>
    </w:p>
  </w:endnote>
  <w:endnote w:type="continuationSeparator" w:id="0">
    <w:p w:rsidR="00492CDB" w:rsidRDefault="00492CDB"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3156BD" w:rsidTr="007C1741">
      <w:trPr>
        <w:trHeight w:val="310"/>
        <w:jc w:val="center"/>
      </w:trPr>
      <w:tc>
        <w:tcPr>
          <w:tcW w:w="1804" w:type="dxa"/>
          <w:shd w:val="clear" w:color="auto" w:fill="00B0F0"/>
          <w:tcMar>
            <w:top w:w="144" w:type="dxa"/>
            <w:left w:w="115" w:type="dxa"/>
            <w:bottom w:w="144" w:type="dxa"/>
            <w:right w:w="115" w:type="dxa"/>
          </w:tcMar>
          <w:vAlign w:val="center"/>
        </w:tcPr>
        <w:p w:rsidR="003156BD" w:rsidRPr="00424BC2" w:rsidRDefault="003156BD" w:rsidP="007C1741">
          <w:pPr>
            <w:rPr>
              <w:b/>
              <w:color w:val="FFFFFF" w:themeColor="background1"/>
            </w:rPr>
          </w:pPr>
          <w:r>
            <w:rPr>
              <w:noProof/>
              <w:lang w:val="en-US"/>
            </w:rPr>
            <w:drawing>
              <wp:inline distT="0" distB="0" distL="0" distR="0">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rsidR="003156BD" w:rsidRPr="007C1741" w:rsidRDefault="003156BD" w:rsidP="00B76025">
          <w:pPr>
            <w:jc w:val="both"/>
            <w:rPr>
              <w:color w:val="FFFFFF" w:themeColor="background1"/>
              <w:sz w:val="20"/>
            </w:rPr>
          </w:pPr>
          <w:r w:rsidRPr="00424BC2">
            <w:rPr>
              <w:color w:val="FFFFFF" w:themeColor="background1"/>
              <w:sz w:val="20"/>
            </w:rPr>
            <w:t>Artículo de acceso abierto distribuido bajo los términos de la licencia Creative</w:t>
          </w:r>
          <w:r w:rsidR="006C28FA">
            <w:rPr>
              <w:color w:val="FFFFFF" w:themeColor="background1"/>
              <w:sz w:val="20"/>
            </w:rPr>
            <w:t xml:space="preserve"> </w:t>
          </w:r>
          <w:r w:rsidRPr="00424BC2">
            <w:rPr>
              <w:color w:val="FFFFFF" w:themeColor="background1"/>
              <w:sz w:val="20"/>
            </w:rPr>
            <w:t>Commo</w:t>
          </w:r>
          <w:r w:rsidRPr="007C1741">
            <w:rPr>
              <w:color w:val="FFFFFF" w:themeColor="background1"/>
              <w:sz w:val="20"/>
            </w:rPr>
            <w:t xml:space="preserve">ns. </w:t>
          </w:r>
        </w:p>
        <w:p w:rsidR="003156BD" w:rsidRPr="00424BC2" w:rsidRDefault="003156BD" w:rsidP="00B76025">
          <w:pPr>
            <w:jc w:val="both"/>
            <w:rPr>
              <w:b/>
              <w:color w:val="FFFFFF" w:themeColor="background1"/>
            </w:rPr>
          </w:pPr>
          <w:r w:rsidRPr="007C1741">
            <w:rPr>
              <w:color w:val="FFFFFF" w:themeColor="background1"/>
              <w:sz w:val="20"/>
            </w:rPr>
            <w:t>Reconocimiento-No</w:t>
          </w:r>
          <w:r w:rsidR="006C28FA">
            <w:rPr>
              <w:color w:val="FFFFFF" w:themeColor="background1"/>
              <w:sz w:val="20"/>
            </w:rPr>
            <w:t xml:space="preserve"> </w:t>
          </w:r>
          <w:r w:rsidRPr="007C1741">
            <w:rPr>
              <w:color w:val="FFFFFF" w:themeColor="background1"/>
              <w:sz w:val="20"/>
            </w:rPr>
            <w:t>Comercial 4.0 Internacional (CC BY-NC 4.0)</w:t>
          </w:r>
        </w:p>
      </w:tc>
    </w:tr>
    <w:tr w:rsidR="003156BD" w:rsidTr="003156BD">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rsidR="003156BD" w:rsidRPr="00424BC2" w:rsidRDefault="003156BD" w:rsidP="007C1741">
          <w:pPr>
            <w:jc w:val="center"/>
            <w:rPr>
              <w:color w:val="FFFFFF" w:themeColor="background1"/>
              <w:sz w:val="20"/>
            </w:rPr>
          </w:pPr>
          <w:r w:rsidRPr="007C1741">
            <w:rPr>
              <w:color w:val="833C0B" w:themeColor="accent2" w:themeShade="80"/>
              <w:sz w:val="20"/>
            </w:rPr>
            <w:t>Calle 41 No.3406 e/34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rsidR="003156BD" w:rsidRDefault="003156BD" w:rsidP="00424BC2">
    <w:pPr>
      <w:pStyle w:val="Piedepgina"/>
      <w:tabs>
        <w:tab w:val="clear" w:pos="4680"/>
        <w:tab w:val="clear" w:pos="9360"/>
      </w:tabs>
      <w:rPr>
        <w:caps/>
        <w:color w:val="5B9BD5" w:themeColor="accent1"/>
      </w:rPr>
    </w:pPr>
  </w:p>
  <w:p w:rsidR="003156BD" w:rsidRDefault="00FE6E3A">
    <w:pPr>
      <w:pStyle w:val="Piedepgina"/>
      <w:tabs>
        <w:tab w:val="clear" w:pos="4680"/>
        <w:tab w:val="clear" w:pos="9360"/>
      </w:tabs>
      <w:jc w:val="center"/>
      <w:rPr>
        <w:caps/>
        <w:color w:val="5B9BD5" w:themeColor="accent1"/>
      </w:rPr>
    </w:pPr>
    <w:r>
      <w:rPr>
        <w:caps/>
        <w:color w:val="5B9BD5" w:themeColor="accent1"/>
      </w:rPr>
      <w:fldChar w:fldCharType="begin"/>
    </w:r>
    <w:r w:rsidR="003156BD">
      <w:rPr>
        <w:caps/>
        <w:color w:val="5B9BD5" w:themeColor="accent1"/>
      </w:rPr>
      <w:instrText>PAGE   \* MERGEFORMAT</w:instrText>
    </w:r>
    <w:r>
      <w:rPr>
        <w:caps/>
        <w:color w:val="5B9BD5" w:themeColor="accent1"/>
      </w:rPr>
      <w:fldChar w:fldCharType="separate"/>
    </w:r>
    <w:r w:rsidR="006932E4">
      <w:rPr>
        <w:caps/>
        <w:noProof/>
        <w:color w:val="5B9BD5" w:themeColor="accent1"/>
      </w:rPr>
      <w:t>65</w:t>
    </w:r>
    <w:r>
      <w:rPr>
        <w:caps/>
        <w:color w:val="5B9BD5" w:themeColor="accent1"/>
      </w:rPr>
      <w:fldChar w:fldCharType="end"/>
    </w:r>
  </w:p>
  <w:p w:rsidR="003156BD" w:rsidRDefault="003156B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CDB" w:rsidRDefault="00492CDB" w:rsidP="00531D56">
      <w:pPr>
        <w:spacing w:after="0" w:line="240" w:lineRule="auto"/>
      </w:pPr>
      <w:r>
        <w:separator/>
      </w:r>
    </w:p>
  </w:footnote>
  <w:footnote w:type="continuationSeparator" w:id="0">
    <w:p w:rsidR="00492CDB" w:rsidRDefault="00492CDB" w:rsidP="00531D56">
      <w:pPr>
        <w:spacing w:after="0" w:line="240" w:lineRule="auto"/>
      </w:pPr>
      <w:r>
        <w:continuationSeparator/>
      </w:r>
    </w:p>
  </w:footnote>
  <w:footnote w:id="1">
    <w:p w:rsidR="00DD04DA" w:rsidRPr="009F39D2" w:rsidRDefault="00DD04DA">
      <w:pPr>
        <w:pStyle w:val="Textonotapie"/>
        <w:rPr>
          <w:rFonts w:ascii="Times New Roman" w:eastAsia="Arial" w:hAnsi="Times New Roman" w:cs="Times New Roman"/>
          <w:sz w:val="24"/>
          <w:szCs w:val="24"/>
        </w:rPr>
      </w:pPr>
      <w:r>
        <w:rPr>
          <w:rStyle w:val="Refdenotaalpie"/>
        </w:rPr>
        <w:footnoteRef/>
      </w:r>
      <w:r>
        <w:t xml:space="preserve"> </w:t>
      </w:r>
      <w:r w:rsidR="008C2C60" w:rsidRPr="009F39D2">
        <w:rPr>
          <w:rFonts w:ascii="Times New Roman" w:eastAsia="Arial" w:hAnsi="Times New Roman" w:cs="Times New Roman"/>
          <w:sz w:val="24"/>
          <w:szCs w:val="24"/>
        </w:rPr>
        <w:t xml:space="preserve">Docente y metodóloga a nivel provincial. Maestrante de la Universidad de Sancti Espíritus. </w:t>
      </w:r>
    </w:p>
  </w:footnote>
  <w:footnote w:id="2">
    <w:p w:rsidR="00DD04DA" w:rsidRPr="009F39D2" w:rsidRDefault="00DD04DA">
      <w:pPr>
        <w:pStyle w:val="Textonotapie"/>
        <w:rPr>
          <w:rFonts w:ascii="Times New Roman" w:eastAsia="Arial" w:hAnsi="Times New Roman" w:cs="Times New Roman"/>
          <w:sz w:val="24"/>
          <w:szCs w:val="24"/>
        </w:rPr>
      </w:pPr>
      <w:r w:rsidRPr="009F39D2">
        <w:rPr>
          <w:rFonts w:ascii="Times New Roman" w:eastAsia="Arial" w:hAnsi="Times New Roman" w:cs="Times New Roman"/>
          <w:sz w:val="24"/>
          <w:szCs w:val="24"/>
        </w:rPr>
        <w:footnoteRef/>
      </w:r>
      <w:r w:rsidRPr="009F39D2">
        <w:rPr>
          <w:rFonts w:ascii="Times New Roman" w:eastAsia="Arial" w:hAnsi="Times New Roman" w:cs="Times New Roman"/>
          <w:sz w:val="24"/>
          <w:szCs w:val="24"/>
        </w:rPr>
        <w:t xml:space="preserve"> </w:t>
      </w:r>
      <w:r w:rsidR="00CA3280" w:rsidRPr="009F39D2">
        <w:rPr>
          <w:rFonts w:ascii="Times New Roman" w:eastAsia="Arial" w:hAnsi="Times New Roman" w:cs="Times New Roman"/>
          <w:sz w:val="24"/>
          <w:szCs w:val="24"/>
        </w:rPr>
        <w:t>Docente e investigador de la Universidad de Sancti Espíritus</w:t>
      </w:r>
      <w:r w:rsidR="007467D5" w:rsidRPr="009F39D2">
        <w:rPr>
          <w:rFonts w:ascii="Times New Roman" w:eastAsia="Arial" w:hAnsi="Times New Roman" w:cs="Times New Roman"/>
          <w:sz w:val="24"/>
          <w:szCs w:val="24"/>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975"/>
      <w:gridCol w:w="4465"/>
    </w:tblGrid>
    <w:tr w:rsidR="006932E4" w:rsidRPr="006932E4" w:rsidTr="006932E4">
      <w:trPr>
        <w:jc w:val="center"/>
      </w:trPr>
      <w:tc>
        <w:tcPr>
          <w:tcW w:w="4975" w:type="dxa"/>
          <w:tcMar>
            <w:top w:w="72" w:type="dxa"/>
            <w:left w:w="115" w:type="dxa"/>
            <w:bottom w:w="72" w:type="dxa"/>
            <w:right w:w="115" w:type="dxa"/>
          </w:tcMar>
          <w:vAlign w:val="center"/>
        </w:tcPr>
        <w:p w:rsidR="006932E4" w:rsidRPr="006932E4" w:rsidRDefault="006932E4" w:rsidP="006932E4">
          <w:pPr>
            <w:jc w:val="center"/>
            <w:rPr>
              <w:rFonts w:ascii="Arial" w:eastAsia="Calibri" w:hAnsi="Arial" w:cs="Arial"/>
              <w:b/>
              <w:sz w:val="28"/>
              <w:szCs w:val="24"/>
              <w:lang w:val="en-US"/>
            </w:rPr>
          </w:pPr>
          <w:bookmarkStart w:id="2" w:name="_Hlk188642710"/>
          <w:r w:rsidRPr="006932E4">
            <w:rPr>
              <w:rFonts w:ascii="Calibri" w:eastAsia="Calibri" w:hAnsi="Calibri" w:cs="Times New Roman"/>
              <w:noProof/>
              <w:lang w:val="en-US"/>
            </w:rPr>
            <w:drawing>
              <wp:inline distT="0" distB="0" distL="0" distR="0" wp14:anchorId="0D6C087F" wp14:editId="048EAE7B">
                <wp:extent cx="3069203" cy="598777"/>
                <wp:effectExtent l="0" t="0" r="0" b="0"/>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43700" cy="613311"/>
                        </a:xfrm>
                        <a:prstGeom prst="rect">
                          <a:avLst/>
                        </a:prstGeom>
                      </pic:spPr>
                    </pic:pic>
                  </a:graphicData>
                </a:graphic>
              </wp:inline>
            </w:drawing>
          </w:r>
        </w:p>
      </w:tc>
      <w:tc>
        <w:tcPr>
          <w:tcW w:w="4465" w:type="dxa"/>
          <w:shd w:val="clear" w:color="auto" w:fill="00B0F0"/>
          <w:tcMar>
            <w:top w:w="72" w:type="dxa"/>
            <w:left w:w="115" w:type="dxa"/>
            <w:bottom w:w="72" w:type="dxa"/>
            <w:right w:w="115" w:type="dxa"/>
          </w:tcMar>
          <w:vAlign w:val="center"/>
        </w:tcPr>
        <w:p w:rsidR="006932E4" w:rsidRPr="006932E4" w:rsidRDefault="006932E4" w:rsidP="006932E4">
          <w:pPr>
            <w:jc w:val="center"/>
            <w:rPr>
              <w:rFonts w:ascii="Calibri" w:eastAsia="Calibri" w:hAnsi="Calibri" w:cs="Times New Roman"/>
              <w:b/>
              <w:color w:val="FFFFFF"/>
            </w:rPr>
          </w:pPr>
          <w:r w:rsidRPr="006932E4">
            <w:rPr>
              <w:rFonts w:ascii="Calibri" w:eastAsia="Calibri" w:hAnsi="Calibri" w:cs="Times New Roman"/>
              <w:b/>
              <w:color w:val="FFFFFF"/>
            </w:rPr>
            <w:t>ISSN: 1605 – 5888    RNPS: 1844</w:t>
          </w:r>
        </w:p>
        <w:p w:rsidR="006932E4" w:rsidRPr="006932E4" w:rsidRDefault="006932E4" w:rsidP="006932E4">
          <w:pPr>
            <w:jc w:val="center"/>
            <w:rPr>
              <w:rFonts w:ascii="Calibri" w:eastAsia="Calibri" w:hAnsi="Calibri" w:cs="Times New Roman"/>
              <w:b/>
              <w:color w:val="FFFFFF"/>
            </w:rPr>
          </w:pPr>
          <w:r w:rsidRPr="006932E4">
            <w:rPr>
              <w:rFonts w:ascii="Calibri" w:eastAsia="Calibri" w:hAnsi="Calibri" w:cs="Times New Roman"/>
              <w:b/>
              <w:color w:val="FFFFFF"/>
            </w:rPr>
            <w:t xml:space="preserve">V.18. No.1 (enero-abril) Año 2025, 4ta Etapa </w:t>
          </w:r>
        </w:p>
        <w:p w:rsidR="006932E4" w:rsidRPr="006932E4" w:rsidRDefault="006932E4" w:rsidP="006932E4">
          <w:pPr>
            <w:jc w:val="center"/>
            <w:rPr>
              <w:rFonts w:ascii="Arial" w:eastAsia="Calibri" w:hAnsi="Arial" w:cs="Arial"/>
              <w:b/>
              <w:sz w:val="28"/>
              <w:szCs w:val="24"/>
              <w:lang w:val="en-US"/>
            </w:rPr>
          </w:pPr>
          <w:r w:rsidRPr="006932E4">
            <w:rPr>
              <w:rFonts w:ascii="Calibri" w:eastAsia="Calibri" w:hAnsi="Calibri" w:cs="Times New Roman"/>
              <w:b/>
              <w:color w:val="FFFFFF"/>
              <w:lang w:val="en-US"/>
            </w:rPr>
            <w:t>Págs.</w:t>
          </w:r>
          <w:bookmarkEnd w:id="2"/>
          <w:r>
            <w:rPr>
              <w:rFonts w:ascii="Calibri" w:eastAsia="Calibri" w:hAnsi="Calibri" w:cs="Times New Roman"/>
              <w:b/>
              <w:color w:val="FFFFFF"/>
              <w:lang w:val="en-US"/>
            </w:rPr>
            <w:t xml:space="preserve"> 65-79</w:t>
          </w:r>
        </w:p>
      </w:tc>
    </w:tr>
  </w:tbl>
  <w:p w:rsidR="003156BD" w:rsidRDefault="003156BD"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8079A"/>
    <w:multiLevelType w:val="hybridMultilevel"/>
    <w:tmpl w:val="BE5201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213EE9"/>
    <w:multiLevelType w:val="hybridMultilevel"/>
    <w:tmpl w:val="4198B5CA"/>
    <w:lvl w:ilvl="0" w:tplc="0C0A000F">
      <w:start w:val="1"/>
      <w:numFmt w:val="decimal"/>
      <w:lvlText w:val="%1."/>
      <w:lvlJc w:val="left"/>
      <w:pPr>
        <w:ind w:left="720" w:hanging="360"/>
      </w:pPr>
      <w:rPr>
        <w:rFonts w:ascii="Times New Roman" w:hAnsi="Times New Roman"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1D56"/>
    <w:rsid w:val="000446EA"/>
    <w:rsid w:val="000657AD"/>
    <w:rsid w:val="0007644C"/>
    <w:rsid w:val="00084564"/>
    <w:rsid w:val="00093B92"/>
    <w:rsid w:val="000A3199"/>
    <w:rsid w:val="000C3C31"/>
    <w:rsid w:val="000C4CC7"/>
    <w:rsid w:val="000D396C"/>
    <w:rsid w:val="000D7E6F"/>
    <w:rsid w:val="001262F5"/>
    <w:rsid w:val="00134C08"/>
    <w:rsid w:val="0015688C"/>
    <w:rsid w:val="001B12B5"/>
    <w:rsid w:val="001B78F0"/>
    <w:rsid w:val="001C2617"/>
    <w:rsid w:val="001D1169"/>
    <w:rsid w:val="001D573A"/>
    <w:rsid w:val="001D6B35"/>
    <w:rsid w:val="001E2976"/>
    <w:rsid w:val="001E7465"/>
    <w:rsid w:val="00201E60"/>
    <w:rsid w:val="00205D98"/>
    <w:rsid w:val="002078AD"/>
    <w:rsid w:val="00212A4E"/>
    <w:rsid w:val="002158B2"/>
    <w:rsid w:val="00223CC9"/>
    <w:rsid w:val="00225BDC"/>
    <w:rsid w:val="00247EFC"/>
    <w:rsid w:val="00250DA9"/>
    <w:rsid w:val="002659DA"/>
    <w:rsid w:val="0026601E"/>
    <w:rsid w:val="002679A0"/>
    <w:rsid w:val="00277053"/>
    <w:rsid w:val="002802D3"/>
    <w:rsid w:val="002A32CA"/>
    <w:rsid w:val="002A6066"/>
    <w:rsid w:val="002D219D"/>
    <w:rsid w:val="002D732A"/>
    <w:rsid w:val="002E0B6D"/>
    <w:rsid w:val="00300822"/>
    <w:rsid w:val="003156BD"/>
    <w:rsid w:val="00316BD3"/>
    <w:rsid w:val="00321DFA"/>
    <w:rsid w:val="00354C7B"/>
    <w:rsid w:val="003765CD"/>
    <w:rsid w:val="003809AD"/>
    <w:rsid w:val="00414C07"/>
    <w:rsid w:val="00421127"/>
    <w:rsid w:val="004233F2"/>
    <w:rsid w:val="00424BC2"/>
    <w:rsid w:val="00425FF2"/>
    <w:rsid w:val="00441DC7"/>
    <w:rsid w:val="00492CDB"/>
    <w:rsid w:val="004B0ADD"/>
    <w:rsid w:val="004C0B76"/>
    <w:rsid w:val="004C5620"/>
    <w:rsid w:val="004D5EC3"/>
    <w:rsid w:val="004E0130"/>
    <w:rsid w:val="004F422A"/>
    <w:rsid w:val="004F66AB"/>
    <w:rsid w:val="005008B0"/>
    <w:rsid w:val="00501F05"/>
    <w:rsid w:val="005026D1"/>
    <w:rsid w:val="00505AD4"/>
    <w:rsid w:val="00522D96"/>
    <w:rsid w:val="00531D56"/>
    <w:rsid w:val="005359EB"/>
    <w:rsid w:val="00571E16"/>
    <w:rsid w:val="00575120"/>
    <w:rsid w:val="00584FEB"/>
    <w:rsid w:val="00592D1A"/>
    <w:rsid w:val="005C00BA"/>
    <w:rsid w:val="006008DD"/>
    <w:rsid w:val="006111EA"/>
    <w:rsid w:val="006145D2"/>
    <w:rsid w:val="00630832"/>
    <w:rsid w:val="0063134D"/>
    <w:rsid w:val="00637189"/>
    <w:rsid w:val="00651A84"/>
    <w:rsid w:val="00656F50"/>
    <w:rsid w:val="006932E4"/>
    <w:rsid w:val="006A3D02"/>
    <w:rsid w:val="006C28FA"/>
    <w:rsid w:val="006D008B"/>
    <w:rsid w:val="006D41EF"/>
    <w:rsid w:val="006E1445"/>
    <w:rsid w:val="0070072F"/>
    <w:rsid w:val="00710458"/>
    <w:rsid w:val="007427F2"/>
    <w:rsid w:val="007467D5"/>
    <w:rsid w:val="00753C06"/>
    <w:rsid w:val="007557D1"/>
    <w:rsid w:val="0077080B"/>
    <w:rsid w:val="00772E24"/>
    <w:rsid w:val="007823CB"/>
    <w:rsid w:val="007A0ED9"/>
    <w:rsid w:val="007B03E8"/>
    <w:rsid w:val="007C1741"/>
    <w:rsid w:val="007D3A08"/>
    <w:rsid w:val="008010F5"/>
    <w:rsid w:val="008261D5"/>
    <w:rsid w:val="008364D6"/>
    <w:rsid w:val="0084286A"/>
    <w:rsid w:val="00853357"/>
    <w:rsid w:val="00881A5C"/>
    <w:rsid w:val="008B1778"/>
    <w:rsid w:val="008C2C60"/>
    <w:rsid w:val="008C32C4"/>
    <w:rsid w:val="008C37A1"/>
    <w:rsid w:val="008D3285"/>
    <w:rsid w:val="008D54B2"/>
    <w:rsid w:val="008E41D0"/>
    <w:rsid w:val="008E5AED"/>
    <w:rsid w:val="008F5009"/>
    <w:rsid w:val="00910554"/>
    <w:rsid w:val="009105D0"/>
    <w:rsid w:val="009165CD"/>
    <w:rsid w:val="0092299F"/>
    <w:rsid w:val="009405D9"/>
    <w:rsid w:val="0094519C"/>
    <w:rsid w:val="00956B66"/>
    <w:rsid w:val="00960D04"/>
    <w:rsid w:val="009676A5"/>
    <w:rsid w:val="00970FEA"/>
    <w:rsid w:val="00975652"/>
    <w:rsid w:val="00995915"/>
    <w:rsid w:val="009A06B0"/>
    <w:rsid w:val="009A0A3F"/>
    <w:rsid w:val="009F39D2"/>
    <w:rsid w:val="009F4592"/>
    <w:rsid w:val="00A16DF4"/>
    <w:rsid w:val="00A24BF2"/>
    <w:rsid w:val="00A346D2"/>
    <w:rsid w:val="00A3652C"/>
    <w:rsid w:val="00A377FD"/>
    <w:rsid w:val="00A41E4A"/>
    <w:rsid w:val="00A546FC"/>
    <w:rsid w:val="00A5779E"/>
    <w:rsid w:val="00A62A3C"/>
    <w:rsid w:val="00A71F2D"/>
    <w:rsid w:val="00A75AF0"/>
    <w:rsid w:val="00A774AA"/>
    <w:rsid w:val="00AB43E5"/>
    <w:rsid w:val="00AD7CDD"/>
    <w:rsid w:val="00AE38FF"/>
    <w:rsid w:val="00AE4C19"/>
    <w:rsid w:val="00B11DE8"/>
    <w:rsid w:val="00B16F38"/>
    <w:rsid w:val="00B20AC7"/>
    <w:rsid w:val="00B2349C"/>
    <w:rsid w:val="00B34B73"/>
    <w:rsid w:val="00B379F7"/>
    <w:rsid w:val="00B75E61"/>
    <w:rsid w:val="00B76025"/>
    <w:rsid w:val="00B831E0"/>
    <w:rsid w:val="00B9565A"/>
    <w:rsid w:val="00BA5808"/>
    <w:rsid w:val="00BD7A0B"/>
    <w:rsid w:val="00BE15F0"/>
    <w:rsid w:val="00BE1AA6"/>
    <w:rsid w:val="00BF0086"/>
    <w:rsid w:val="00BF1168"/>
    <w:rsid w:val="00C05F28"/>
    <w:rsid w:val="00C10405"/>
    <w:rsid w:val="00C112C5"/>
    <w:rsid w:val="00C268F0"/>
    <w:rsid w:val="00C305F5"/>
    <w:rsid w:val="00C40BC1"/>
    <w:rsid w:val="00C677EB"/>
    <w:rsid w:val="00C74D5C"/>
    <w:rsid w:val="00C80EB9"/>
    <w:rsid w:val="00C9548A"/>
    <w:rsid w:val="00CA3280"/>
    <w:rsid w:val="00CA386F"/>
    <w:rsid w:val="00CA3929"/>
    <w:rsid w:val="00CB0CC8"/>
    <w:rsid w:val="00CB3F88"/>
    <w:rsid w:val="00CB5C21"/>
    <w:rsid w:val="00CC196D"/>
    <w:rsid w:val="00CE4A6B"/>
    <w:rsid w:val="00CF0E6C"/>
    <w:rsid w:val="00D1304F"/>
    <w:rsid w:val="00D17291"/>
    <w:rsid w:val="00D336A9"/>
    <w:rsid w:val="00D46186"/>
    <w:rsid w:val="00D4751B"/>
    <w:rsid w:val="00D567F8"/>
    <w:rsid w:val="00D66A08"/>
    <w:rsid w:val="00D67B67"/>
    <w:rsid w:val="00D9205A"/>
    <w:rsid w:val="00DA12FD"/>
    <w:rsid w:val="00DA4585"/>
    <w:rsid w:val="00DB3A55"/>
    <w:rsid w:val="00DB6432"/>
    <w:rsid w:val="00DD04DA"/>
    <w:rsid w:val="00DF2E5C"/>
    <w:rsid w:val="00DF4FE3"/>
    <w:rsid w:val="00E0314A"/>
    <w:rsid w:val="00E05CE2"/>
    <w:rsid w:val="00E41A51"/>
    <w:rsid w:val="00EC2BB2"/>
    <w:rsid w:val="00F03789"/>
    <w:rsid w:val="00F271A4"/>
    <w:rsid w:val="00F2762D"/>
    <w:rsid w:val="00F42BA2"/>
    <w:rsid w:val="00F460EA"/>
    <w:rsid w:val="00F46537"/>
    <w:rsid w:val="00F77983"/>
    <w:rsid w:val="00F80A10"/>
    <w:rsid w:val="00F83ABF"/>
    <w:rsid w:val="00FA027C"/>
    <w:rsid w:val="00FB0154"/>
    <w:rsid w:val="00FC6DBA"/>
    <w:rsid w:val="00FE0213"/>
    <w:rsid w:val="00FE1BDE"/>
    <w:rsid w:val="00FE457E"/>
    <w:rsid w:val="00FE6E3A"/>
    <w:rsid w:val="00FF109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98337"/>
  <w15:docId w15:val="{086A9C5A-7B4F-4DB7-B0CD-A72DF38C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2F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extodeglobo">
    <w:name w:val="Balloon Text"/>
    <w:basedOn w:val="Normal"/>
    <w:link w:val="TextodegloboCar"/>
    <w:uiPriority w:val="99"/>
    <w:semiHidden/>
    <w:unhideWhenUsed/>
    <w:rsid w:val="00522D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2D96"/>
    <w:rPr>
      <w:rFonts w:ascii="Tahoma" w:hAnsi="Tahoma" w:cs="Tahoma"/>
      <w:sz w:val="16"/>
      <w:szCs w:val="16"/>
      <w:lang w:val="es-ES"/>
    </w:rPr>
  </w:style>
  <w:style w:type="paragraph" w:styleId="Textonotapie">
    <w:name w:val="footnote text"/>
    <w:basedOn w:val="Normal"/>
    <w:link w:val="TextonotapieCar"/>
    <w:uiPriority w:val="99"/>
    <w:semiHidden/>
    <w:unhideWhenUsed/>
    <w:rsid w:val="00DD04D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04DA"/>
    <w:rPr>
      <w:sz w:val="20"/>
      <w:szCs w:val="20"/>
      <w:lang w:val="es-ES"/>
    </w:rPr>
  </w:style>
  <w:style w:type="character" w:styleId="Refdenotaalpie">
    <w:name w:val="footnote reference"/>
    <w:basedOn w:val="Fuentedeprrafopredeter"/>
    <w:uiPriority w:val="99"/>
    <w:semiHidden/>
    <w:unhideWhenUsed/>
    <w:rsid w:val="00DD04DA"/>
    <w:rPr>
      <w:vertAlign w:val="superscript"/>
    </w:rPr>
  </w:style>
  <w:style w:type="table" w:customStyle="1" w:styleId="Tablaconcuadrcula1">
    <w:name w:val="Tabla con cuadrícula1"/>
    <w:basedOn w:val="Tablanormal"/>
    <w:next w:val="Tablaconcuadrcula"/>
    <w:uiPriority w:val="39"/>
    <w:rsid w:val="00693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lysrodr&#237;gueznoda@gmail.com" TargetMode="External"/><Relationship Id="rId13" Type="http://schemas.openxmlformats.org/officeDocument/2006/relationships/hyperlink" Target="about:blank" TargetMode="External"/><Relationship Id="rId18" Type="http://schemas.openxmlformats.org/officeDocument/2006/relationships/hyperlink" Target="https://scholar.google.es/scholar?hl=es&amp;as_sdt=0%2C5&amp;q=Re%C3%A1tegui+Re%C3%A1tegui%2C+L.+%282019%29&amp;bt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rein.umcc.cu/bitstream/handle/123456789/3040/Mon23-Melba.pdf?sequence=1&amp;isAllowed=y" TargetMode="External"/><Relationship Id="rId2" Type="http://schemas.openxmlformats.org/officeDocument/2006/relationships/numbering" Target="numbering.xml"/><Relationship Id="rId16" Type="http://schemas.openxmlformats.org/officeDocument/2006/relationships/hyperlink" Target="https://rccd.ucf.edu.cu/index.php/aes/article/view/23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journal/5891/589161654013/589161654013.pdf" TargetMode="External"/><Relationship Id="rId5" Type="http://schemas.openxmlformats.org/officeDocument/2006/relationships/webSettings" Target="webSettings.xml"/><Relationship Id="rId15" Type="http://schemas.openxmlformats.org/officeDocument/2006/relationships/hyperlink" Target="https://doi.org/10.21555/rpp.v0i25.1687" TargetMode="External"/><Relationship Id="rId23" Type="http://schemas.openxmlformats.org/officeDocument/2006/relationships/theme" Target="theme/theme1.xml"/><Relationship Id="rId10" Type="http://schemas.openxmlformats.org/officeDocument/2006/relationships/hyperlink" Target="https://orcid.org/0000-0003-0668-9788" TargetMode="External"/><Relationship Id="rId19" Type="http://schemas.openxmlformats.org/officeDocument/2006/relationships/hyperlink" Target="http://scielo.sld.cu/scielo.php?script=sci_arttext&amp;pid=S1729-80912023000100121&amp;lng=es&amp;tlng=es" TargetMode="External"/><Relationship Id="rId4" Type="http://schemas.openxmlformats.org/officeDocument/2006/relationships/settings" Target="settings.xml"/><Relationship Id="rId9" Type="http://schemas.openxmlformats.org/officeDocument/2006/relationships/hyperlink" Target="mailto:mhorta@uniss.edu" TargetMode="External"/><Relationship Id="rId14" Type="http://schemas.openxmlformats.org/officeDocument/2006/relationships/hyperlink" Target="https://revistaeducacioninclusiva.es/index.php/REI/article/view/589"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3DF10-772B-463A-865C-B4B6261C5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15</Pages>
  <Words>4430</Words>
  <Characters>25255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206</cp:revision>
  <cp:lastPrinted>2025-02-24T15:43:00Z</cp:lastPrinted>
  <dcterms:created xsi:type="dcterms:W3CDTF">2023-06-23T13:19:00Z</dcterms:created>
  <dcterms:modified xsi:type="dcterms:W3CDTF">2025-02-24T15:43:00Z</dcterms:modified>
</cp:coreProperties>
</file>