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82CFB54" w14:textId="30F91E06" w:rsidR="00633EF9" w:rsidRDefault="00633EF9">
      <w:pPr>
        <w:widowControl w:val="0"/>
        <w:jc w:val="center"/>
        <w:rPr>
          <w:rFonts w:ascii="Times New Roman" w:eastAsia="Times New Roman" w:hAnsi="Times New Roman" w:cs="Times New Roman"/>
          <w:b/>
          <w:sz w:val="28"/>
          <w:szCs w:val="28"/>
        </w:rPr>
      </w:pPr>
      <w:r>
        <w:rPr>
          <w:noProof/>
          <w:lang w:val="en-US"/>
          <w14:ligatures w14:val="standardContextual"/>
        </w:rPr>
        <w:drawing>
          <wp:inline distT="0" distB="0" distL="0" distR="0" wp14:anchorId="60018E6A" wp14:editId="36C1683A">
            <wp:extent cx="682388" cy="1019809"/>
            <wp:effectExtent l="0" t="0" r="3810" b="9525"/>
            <wp:docPr id="8"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n 7"/>
                    <pic:cNvPicPr>
                      <a:picLocks noChangeAspect="1"/>
                    </pic:cNvPicPr>
                  </pic:nvPicPr>
                  <pic:blipFill>
                    <a:blip r:embed="rId8"/>
                    <a:stretch>
                      <a:fillRect/>
                    </a:stretch>
                  </pic:blipFill>
                  <pic:spPr>
                    <a:xfrm>
                      <a:off x="0" y="0"/>
                      <a:ext cx="682388" cy="1019809"/>
                    </a:xfrm>
                    <a:prstGeom prst="rect">
                      <a:avLst/>
                    </a:prstGeom>
                  </pic:spPr>
                </pic:pic>
              </a:graphicData>
            </a:graphic>
          </wp:inline>
        </w:drawing>
      </w:r>
      <w:r w:rsidR="00FD3F8A">
        <w:rPr>
          <w:rFonts w:ascii="Times New Roman" w:eastAsia="Times New Roman" w:hAnsi="Times New Roman" w:cs="Times New Roman"/>
          <w:b/>
          <w:sz w:val="28"/>
          <w:szCs w:val="28"/>
        </w:rPr>
        <w:t xml:space="preserve"> </w:t>
      </w:r>
    </w:p>
    <w:p w14:paraId="00000001" w14:textId="5014C741" w:rsidR="00CC7271" w:rsidRPr="003A51A7" w:rsidRDefault="00FD3F8A">
      <w:pPr>
        <w:widowControl w:val="0"/>
        <w:jc w:val="center"/>
        <w:rPr>
          <w:rFonts w:ascii="Times New Roman" w:eastAsia="Times New Roman" w:hAnsi="Times New Roman" w:cs="Times New Roman"/>
          <w:b/>
          <w:sz w:val="24"/>
          <w:szCs w:val="24"/>
        </w:rPr>
      </w:pPr>
      <w:r w:rsidRPr="003A51A7">
        <w:rPr>
          <w:rFonts w:ascii="Times New Roman" w:eastAsia="Times New Roman" w:hAnsi="Times New Roman" w:cs="Times New Roman"/>
          <w:b/>
          <w:sz w:val="24"/>
          <w:szCs w:val="24"/>
        </w:rPr>
        <w:t xml:space="preserve">El Poder Cooperativo del </w:t>
      </w:r>
      <w:proofErr w:type="spellStart"/>
      <w:r w:rsidRPr="003A51A7">
        <w:rPr>
          <w:rFonts w:ascii="Times New Roman" w:eastAsia="Times New Roman" w:hAnsi="Times New Roman" w:cs="Times New Roman"/>
          <w:b/>
          <w:sz w:val="24"/>
          <w:szCs w:val="24"/>
        </w:rPr>
        <w:t>Breakout</w:t>
      </w:r>
      <w:proofErr w:type="spellEnd"/>
      <w:r w:rsidRPr="003A51A7">
        <w:rPr>
          <w:rFonts w:ascii="Times New Roman" w:eastAsia="Times New Roman" w:hAnsi="Times New Roman" w:cs="Times New Roman"/>
          <w:b/>
          <w:sz w:val="24"/>
          <w:szCs w:val="24"/>
        </w:rPr>
        <w:t xml:space="preserve"> en Educación Infantil</w:t>
      </w:r>
    </w:p>
    <w:p w14:paraId="00000002" w14:textId="77777777" w:rsidR="00CC7271" w:rsidRPr="003A51A7" w:rsidRDefault="00FD3F8A">
      <w:pPr>
        <w:widowControl w:val="0"/>
        <w:jc w:val="center"/>
        <w:rPr>
          <w:rFonts w:ascii="Times New Roman" w:eastAsia="Times New Roman" w:hAnsi="Times New Roman" w:cs="Times New Roman"/>
          <w:sz w:val="24"/>
          <w:szCs w:val="24"/>
          <w:lang w:val="en-US"/>
        </w:rPr>
      </w:pPr>
      <w:r w:rsidRPr="003A51A7">
        <w:rPr>
          <w:rFonts w:ascii="Times New Roman" w:eastAsia="Times New Roman" w:hAnsi="Times New Roman" w:cs="Times New Roman"/>
          <w:sz w:val="24"/>
          <w:szCs w:val="24"/>
          <w:lang w:val="en-US"/>
        </w:rPr>
        <w:t>The Cooperative Power of Breakout in Early Childhood Education</w:t>
      </w:r>
    </w:p>
    <w:p w14:paraId="00000003" w14:textId="77777777" w:rsidR="00CC7271" w:rsidRDefault="00FD3F8A">
      <w:pPr>
        <w:widowControl w:val="0"/>
        <w:jc w:val="right"/>
        <w:rPr>
          <w:rFonts w:ascii="Times New Roman" w:eastAsia="Times New Roman" w:hAnsi="Times New Roman" w:cs="Times New Roman"/>
          <w:b/>
          <w:sz w:val="24"/>
          <w:szCs w:val="24"/>
        </w:rPr>
      </w:pPr>
      <w:r>
        <w:rPr>
          <w:rFonts w:ascii="Times New Roman" w:eastAsia="Times New Roman" w:hAnsi="Times New Roman" w:cs="Times New Roman"/>
          <w:b/>
          <w:sz w:val="24"/>
          <w:szCs w:val="24"/>
        </w:rPr>
        <w:t>Artículo de investigación</w:t>
      </w:r>
    </w:p>
    <w:p w14:paraId="00000005" w14:textId="77777777" w:rsidR="00CC7271" w:rsidRDefault="00FD3F8A">
      <w:pPr>
        <w:widowControl w:val="0"/>
        <w:rPr>
          <w:rFonts w:ascii="Times New Roman" w:eastAsia="Times New Roman" w:hAnsi="Times New Roman" w:cs="Times New Roman"/>
          <w:b/>
          <w:sz w:val="28"/>
          <w:szCs w:val="28"/>
        </w:rPr>
      </w:pPr>
      <w:r>
        <w:rPr>
          <w:rFonts w:ascii="Times New Roman" w:eastAsia="Times New Roman" w:hAnsi="Times New Roman" w:cs="Times New Roman"/>
          <w:b/>
          <w:sz w:val="28"/>
          <w:szCs w:val="28"/>
        </w:rPr>
        <w:t>AUTORES:</w:t>
      </w:r>
    </w:p>
    <w:p w14:paraId="00000006" w14:textId="1921BCA2" w:rsidR="00CC7271" w:rsidRDefault="00FD3F8A" w:rsidP="00633EF9">
      <w:pPr>
        <w:widowControl w:val="0"/>
        <w:spacing w:after="0" w:line="240" w:lineRule="auto"/>
        <w:ind w:left="432"/>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Rocío Collado-Soler</w:t>
      </w:r>
      <w:r>
        <w:rPr>
          <w:rFonts w:ascii="Times New Roman" w:eastAsia="Times New Roman" w:hAnsi="Times New Roman" w:cs="Times New Roman"/>
          <w:sz w:val="24"/>
          <w:szCs w:val="24"/>
          <w:vertAlign w:val="superscript"/>
        </w:rPr>
        <w:footnoteReference w:id="1"/>
      </w:r>
      <w:r>
        <w:rPr>
          <w:rFonts w:ascii="Times New Roman" w:eastAsia="Times New Roman" w:hAnsi="Times New Roman" w:cs="Times New Roman"/>
          <w:sz w:val="24"/>
          <w:szCs w:val="24"/>
        </w:rPr>
        <w:t xml:space="preserve"> </w:t>
      </w:r>
    </w:p>
    <w:p w14:paraId="00000008" w14:textId="3E4E5217" w:rsidR="00CC7271" w:rsidRDefault="00FD3F8A" w:rsidP="00633EF9">
      <w:pPr>
        <w:widowControl w:val="0"/>
        <w:spacing w:after="0" w:line="240" w:lineRule="auto"/>
        <w:ind w:left="432"/>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 xml:space="preserve">Correo: </w:t>
      </w:r>
      <w:hyperlink r:id="rId9">
        <w:r>
          <w:rPr>
            <w:rFonts w:ascii="Times New Roman" w:eastAsia="Times New Roman" w:hAnsi="Times New Roman" w:cs="Times New Roman"/>
            <w:i/>
            <w:color w:val="1155CC"/>
            <w:sz w:val="24"/>
            <w:szCs w:val="24"/>
            <w:u w:val="single"/>
          </w:rPr>
          <w:t>rcs953@ual.es</w:t>
        </w:r>
      </w:hyperlink>
      <w:r>
        <w:rPr>
          <w:rFonts w:ascii="Times New Roman" w:eastAsia="Times New Roman" w:hAnsi="Times New Roman" w:cs="Times New Roman"/>
          <w:i/>
          <w:sz w:val="24"/>
          <w:szCs w:val="24"/>
        </w:rPr>
        <w:t xml:space="preserve"> </w:t>
      </w:r>
    </w:p>
    <w:p w14:paraId="00000009" w14:textId="07B7665E" w:rsidR="00CC7271" w:rsidRDefault="003A51A7" w:rsidP="00633EF9">
      <w:pPr>
        <w:widowControl w:val="0"/>
        <w:spacing w:after="0" w:line="240" w:lineRule="auto"/>
        <w:ind w:left="432"/>
        <w:jc w:val="both"/>
        <w:rPr>
          <w:rFonts w:ascii="Times New Roman" w:eastAsia="Times New Roman" w:hAnsi="Times New Roman" w:cs="Times New Roman"/>
          <w:i/>
          <w:sz w:val="24"/>
          <w:szCs w:val="24"/>
        </w:rPr>
      </w:pPr>
      <w:proofErr w:type="spellStart"/>
      <w:r>
        <w:rPr>
          <w:rFonts w:ascii="Times New Roman" w:eastAsia="Times New Roman" w:hAnsi="Times New Roman" w:cs="Times New Roman"/>
          <w:i/>
          <w:sz w:val="24"/>
          <w:szCs w:val="24"/>
        </w:rPr>
        <w:t>O</w:t>
      </w:r>
      <w:r w:rsidR="00FD3F8A">
        <w:rPr>
          <w:rFonts w:ascii="Times New Roman" w:eastAsia="Times New Roman" w:hAnsi="Times New Roman" w:cs="Times New Roman"/>
          <w:i/>
          <w:sz w:val="24"/>
          <w:szCs w:val="24"/>
        </w:rPr>
        <w:t>rcid</w:t>
      </w:r>
      <w:proofErr w:type="spellEnd"/>
      <w:r>
        <w:rPr>
          <w:rFonts w:ascii="Times New Roman" w:eastAsia="Times New Roman" w:hAnsi="Times New Roman" w:cs="Times New Roman"/>
          <w:i/>
          <w:sz w:val="24"/>
          <w:szCs w:val="24"/>
        </w:rPr>
        <w:t>:</w:t>
      </w:r>
      <w:r w:rsidR="00FD3F8A">
        <w:rPr>
          <w:rFonts w:ascii="Times New Roman" w:eastAsia="Times New Roman" w:hAnsi="Times New Roman" w:cs="Times New Roman"/>
          <w:i/>
          <w:sz w:val="24"/>
          <w:szCs w:val="24"/>
        </w:rPr>
        <w:t xml:space="preserve"> </w:t>
      </w:r>
      <w:hyperlink r:id="rId10">
        <w:r w:rsidR="00FD3F8A">
          <w:rPr>
            <w:rFonts w:ascii="Times New Roman" w:eastAsia="Times New Roman" w:hAnsi="Times New Roman" w:cs="Times New Roman"/>
            <w:i/>
            <w:color w:val="1155CC"/>
            <w:sz w:val="24"/>
            <w:szCs w:val="24"/>
            <w:u w:val="single"/>
          </w:rPr>
          <w:t>https://orcid.org/0000-0001-9435-777X</w:t>
        </w:r>
      </w:hyperlink>
      <w:r w:rsidR="00FD3F8A">
        <w:rPr>
          <w:rFonts w:ascii="Times New Roman" w:eastAsia="Times New Roman" w:hAnsi="Times New Roman" w:cs="Times New Roman"/>
          <w:i/>
          <w:sz w:val="24"/>
          <w:szCs w:val="24"/>
        </w:rPr>
        <w:t xml:space="preserve"> </w:t>
      </w:r>
    </w:p>
    <w:p w14:paraId="0000000A" w14:textId="4910B9A9" w:rsidR="00CC7271" w:rsidRDefault="00FD3F8A" w:rsidP="00633EF9">
      <w:pPr>
        <w:widowControl w:val="0"/>
        <w:spacing w:after="120" w:line="240" w:lineRule="auto"/>
        <w:ind w:left="43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Universidad de Almería (España)</w:t>
      </w:r>
    </w:p>
    <w:p w14:paraId="0000000B" w14:textId="0A80F256" w:rsidR="00CC7271" w:rsidRDefault="00FD3F8A" w:rsidP="00633EF9">
      <w:pPr>
        <w:widowControl w:val="0"/>
        <w:spacing w:after="0" w:line="240" w:lineRule="auto"/>
        <w:ind w:left="43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Marina Alférez- Pastor</w:t>
      </w:r>
      <w:r>
        <w:rPr>
          <w:rFonts w:ascii="Times New Roman" w:eastAsia="Times New Roman" w:hAnsi="Times New Roman" w:cs="Times New Roman"/>
          <w:sz w:val="24"/>
          <w:szCs w:val="24"/>
          <w:vertAlign w:val="superscript"/>
        </w:rPr>
        <w:t>2</w:t>
      </w:r>
    </w:p>
    <w:p w14:paraId="0000000C" w14:textId="21AF6B14" w:rsidR="00CC7271" w:rsidRDefault="00FD3F8A" w:rsidP="00633EF9">
      <w:pPr>
        <w:widowControl w:val="0"/>
        <w:spacing w:after="0" w:line="240" w:lineRule="auto"/>
        <w:ind w:left="432"/>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 xml:space="preserve">Correo: </w:t>
      </w:r>
      <w:hyperlink r:id="rId11">
        <w:r>
          <w:rPr>
            <w:rFonts w:ascii="Times New Roman" w:eastAsia="Times New Roman" w:hAnsi="Times New Roman" w:cs="Times New Roman"/>
            <w:i/>
            <w:color w:val="1155CC"/>
            <w:sz w:val="24"/>
            <w:szCs w:val="24"/>
            <w:u w:val="single"/>
          </w:rPr>
          <w:t>map618@ual.es</w:t>
        </w:r>
      </w:hyperlink>
      <w:r>
        <w:rPr>
          <w:rFonts w:ascii="Times New Roman" w:eastAsia="Times New Roman" w:hAnsi="Times New Roman" w:cs="Times New Roman"/>
          <w:i/>
          <w:sz w:val="24"/>
          <w:szCs w:val="24"/>
        </w:rPr>
        <w:t xml:space="preserve"> (autora de contacto)</w:t>
      </w:r>
    </w:p>
    <w:p w14:paraId="0000000D" w14:textId="6BED136D" w:rsidR="00CC7271" w:rsidRDefault="003A51A7" w:rsidP="00633EF9">
      <w:pPr>
        <w:widowControl w:val="0"/>
        <w:spacing w:after="0" w:line="240" w:lineRule="auto"/>
        <w:ind w:left="432"/>
        <w:jc w:val="both"/>
        <w:rPr>
          <w:rFonts w:ascii="Times New Roman" w:eastAsia="Times New Roman" w:hAnsi="Times New Roman" w:cs="Times New Roman"/>
          <w:i/>
          <w:sz w:val="24"/>
          <w:szCs w:val="24"/>
        </w:rPr>
      </w:pPr>
      <w:proofErr w:type="spellStart"/>
      <w:r>
        <w:rPr>
          <w:rFonts w:ascii="Times New Roman" w:eastAsia="Times New Roman" w:hAnsi="Times New Roman" w:cs="Times New Roman"/>
          <w:i/>
          <w:sz w:val="24"/>
          <w:szCs w:val="24"/>
        </w:rPr>
        <w:t>O</w:t>
      </w:r>
      <w:r w:rsidR="00FD3F8A">
        <w:rPr>
          <w:rFonts w:ascii="Times New Roman" w:eastAsia="Times New Roman" w:hAnsi="Times New Roman" w:cs="Times New Roman"/>
          <w:i/>
          <w:sz w:val="24"/>
          <w:szCs w:val="24"/>
        </w:rPr>
        <w:t>rcid</w:t>
      </w:r>
      <w:proofErr w:type="spellEnd"/>
      <w:r w:rsidR="00FD3F8A">
        <w:rPr>
          <w:rFonts w:ascii="Times New Roman" w:eastAsia="Times New Roman" w:hAnsi="Times New Roman" w:cs="Times New Roman"/>
          <w:i/>
          <w:sz w:val="24"/>
          <w:szCs w:val="24"/>
        </w:rPr>
        <w:t xml:space="preserve"> : </w:t>
      </w:r>
      <w:hyperlink r:id="rId12">
        <w:r w:rsidR="00FD3F8A">
          <w:rPr>
            <w:rFonts w:ascii="Times New Roman" w:eastAsia="Times New Roman" w:hAnsi="Times New Roman" w:cs="Times New Roman"/>
            <w:i/>
            <w:color w:val="1155CC"/>
            <w:sz w:val="24"/>
            <w:szCs w:val="24"/>
            <w:u w:val="single"/>
          </w:rPr>
          <w:t>https://orcid.org/0009-0008-3323-124X</w:t>
        </w:r>
      </w:hyperlink>
      <w:r w:rsidR="00FD3F8A">
        <w:rPr>
          <w:rFonts w:ascii="Times New Roman" w:eastAsia="Times New Roman" w:hAnsi="Times New Roman" w:cs="Times New Roman"/>
          <w:i/>
          <w:sz w:val="24"/>
          <w:szCs w:val="24"/>
        </w:rPr>
        <w:t xml:space="preserve"> </w:t>
      </w:r>
    </w:p>
    <w:p w14:paraId="0000000E" w14:textId="095A22CE" w:rsidR="00CC7271" w:rsidRDefault="00FD3F8A" w:rsidP="00633EF9">
      <w:pPr>
        <w:widowControl w:val="0"/>
        <w:spacing w:after="120" w:line="240" w:lineRule="auto"/>
        <w:ind w:left="43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Universidad de Almería (España)</w:t>
      </w:r>
    </w:p>
    <w:p w14:paraId="0000000F" w14:textId="1008EEDB" w:rsidR="00CC7271" w:rsidRDefault="00FD3F8A" w:rsidP="00633EF9">
      <w:pPr>
        <w:widowControl w:val="0"/>
        <w:spacing w:after="0" w:line="240" w:lineRule="auto"/>
        <w:ind w:left="43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José Manuel Aguilar</w:t>
      </w:r>
      <w:r>
        <w:rPr>
          <w:rFonts w:ascii="Times New Roman" w:eastAsia="Times New Roman" w:hAnsi="Times New Roman" w:cs="Times New Roman"/>
          <w:sz w:val="24"/>
          <w:szCs w:val="24"/>
          <w:vertAlign w:val="superscript"/>
        </w:rPr>
        <w:t xml:space="preserve">3 </w:t>
      </w:r>
    </w:p>
    <w:p w14:paraId="00000010" w14:textId="010F2C18" w:rsidR="00CC7271" w:rsidRDefault="00FD3F8A" w:rsidP="00633EF9">
      <w:pPr>
        <w:widowControl w:val="0"/>
        <w:spacing w:after="0" w:line="240" w:lineRule="auto"/>
        <w:ind w:left="432"/>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 xml:space="preserve">Correo: </w:t>
      </w:r>
      <w:hyperlink r:id="rId13">
        <w:r>
          <w:rPr>
            <w:rFonts w:ascii="Times New Roman" w:eastAsia="Times New Roman" w:hAnsi="Times New Roman" w:cs="Times New Roman"/>
            <w:i/>
            <w:color w:val="1155CC"/>
            <w:sz w:val="24"/>
            <w:szCs w:val="24"/>
            <w:u w:val="single"/>
          </w:rPr>
          <w:t>jmaguilar@ual.es</w:t>
        </w:r>
      </w:hyperlink>
      <w:r>
        <w:rPr>
          <w:rFonts w:ascii="Times New Roman" w:eastAsia="Times New Roman" w:hAnsi="Times New Roman" w:cs="Times New Roman"/>
          <w:i/>
          <w:sz w:val="24"/>
          <w:szCs w:val="24"/>
        </w:rPr>
        <w:t xml:space="preserve"> </w:t>
      </w:r>
    </w:p>
    <w:p w14:paraId="00000011" w14:textId="6D277676" w:rsidR="00CC7271" w:rsidRDefault="003A51A7" w:rsidP="00633EF9">
      <w:pPr>
        <w:widowControl w:val="0"/>
        <w:spacing w:after="0" w:line="240" w:lineRule="auto"/>
        <w:ind w:left="432"/>
        <w:jc w:val="both"/>
        <w:rPr>
          <w:rFonts w:ascii="Times New Roman" w:eastAsia="Times New Roman" w:hAnsi="Times New Roman" w:cs="Times New Roman"/>
          <w:i/>
          <w:sz w:val="24"/>
          <w:szCs w:val="24"/>
        </w:rPr>
      </w:pPr>
      <w:proofErr w:type="spellStart"/>
      <w:r>
        <w:rPr>
          <w:rFonts w:ascii="Times New Roman" w:eastAsia="Times New Roman" w:hAnsi="Times New Roman" w:cs="Times New Roman"/>
          <w:i/>
          <w:sz w:val="24"/>
          <w:szCs w:val="24"/>
        </w:rPr>
        <w:t>O</w:t>
      </w:r>
      <w:r w:rsidR="00FD3F8A">
        <w:rPr>
          <w:rFonts w:ascii="Times New Roman" w:eastAsia="Times New Roman" w:hAnsi="Times New Roman" w:cs="Times New Roman"/>
          <w:i/>
          <w:sz w:val="24"/>
          <w:szCs w:val="24"/>
        </w:rPr>
        <w:t>rcid</w:t>
      </w:r>
      <w:proofErr w:type="spellEnd"/>
      <w:r w:rsidR="00FD3F8A">
        <w:rPr>
          <w:rFonts w:ascii="Times New Roman" w:eastAsia="Times New Roman" w:hAnsi="Times New Roman" w:cs="Times New Roman"/>
          <w:i/>
          <w:sz w:val="24"/>
          <w:szCs w:val="24"/>
        </w:rPr>
        <w:t xml:space="preserve"> debidamente completado: </w:t>
      </w:r>
      <w:hyperlink r:id="rId14">
        <w:r w:rsidR="00FD3F8A">
          <w:rPr>
            <w:rFonts w:ascii="Times New Roman" w:eastAsia="Times New Roman" w:hAnsi="Times New Roman" w:cs="Times New Roman"/>
            <w:i/>
            <w:color w:val="1155CC"/>
            <w:sz w:val="24"/>
            <w:szCs w:val="24"/>
            <w:u w:val="single"/>
          </w:rPr>
          <w:t>https://orcid.org/0000-0002-6703-0680</w:t>
        </w:r>
      </w:hyperlink>
      <w:r w:rsidR="00FD3F8A">
        <w:rPr>
          <w:rFonts w:ascii="Times New Roman" w:eastAsia="Times New Roman" w:hAnsi="Times New Roman" w:cs="Times New Roman"/>
          <w:i/>
          <w:sz w:val="24"/>
          <w:szCs w:val="24"/>
        </w:rPr>
        <w:t xml:space="preserve"> </w:t>
      </w:r>
    </w:p>
    <w:p w14:paraId="5F373ADC" w14:textId="249A6B27" w:rsidR="003A51A7" w:rsidRDefault="00FD3F8A" w:rsidP="00633EF9">
      <w:pPr>
        <w:widowControl w:val="0"/>
        <w:spacing w:after="120" w:line="240" w:lineRule="auto"/>
        <w:ind w:left="43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Universidad de Almería (España)</w:t>
      </w:r>
    </w:p>
    <w:p w14:paraId="530D7A9A" w14:textId="77777777" w:rsidR="00633EF9" w:rsidRDefault="00633EF9" w:rsidP="00633EF9">
      <w:pPr>
        <w:widowControl w:val="0"/>
        <w:spacing w:after="120" w:line="240" w:lineRule="auto"/>
        <w:ind w:left="432"/>
        <w:jc w:val="both"/>
        <w:rPr>
          <w:rFonts w:ascii="Times New Roman" w:eastAsia="Times New Roman" w:hAnsi="Times New Roman" w:cs="Times New Roman"/>
          <w:sz w:val="24"/>
          <w:szCs w:val="24"/>
        </w:rPr>
      </w:pPr>
    </w:p>
    <w:tbl>
      <w:tblPr>
        <w:tblStyle w:val="aa"/>
        <w:tblpPr w:leftFromText="180" w:rightFromText="180" w:vertAnchor="text" w:tblpX="311" w:tblpY="22"/>
        <w:tblW w:w="8828" w:type="dxa"/>
        <w:tblInd w:w="0" w:type="dxa"/>
        <w:tblBorders>
          <w:top w:val="nil"/>
          <w:left w:val="nil"/>
          <w:bottom w:val="nil"/>
          <w:right w:val="nil"/>
          <w:insideH w:val="single" w:sz="4" w:space="0" w:color="000000"/>
          <w:insideV w:val="single" w:sz="4" w:space="0" w:color="000000"/>
        </w:tblBorders>
        <w:tblLayout w:type="fixed"/>
        <w:tblLook w:val="0400" w:firstRow="0" w:lastRow="0" w:firstColumn="0" w:lastColumn="0" w:noHBand="0" w:noVBand="1"/>
      </w:tblPr>
      <w:tblGrid>
        <w:gridCol w:w="2942"/>
        <w:gridCol w:w="2943"/>
        <w:gridCol w:w="2943"/>
      </w:tblGrid>
      <w:tr w:rsidR="00CC7271" w14:paraId="1D9F4318" w14:textId="77777777">
        <w:tc>
          <w:tcPr>
            <w:tcW w:w="2942" w:type="dxa"/>
            <w:shd w:val="clear" w:color="auto" w:fill="00B0F0"/>
          </w:tcPr>
          <w:p w14:paraId="00000013" w14:textId="77777777" w:rsidR="00CC7271" w:rsidRDefault="00FD3F8A">
            <w:pPr>
              <w:widowControl w:val="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Recibido</w:t>
            </w:r>
          </w:p>
        </w:tc>
        <w:tc>
          <w:tcPr>
            <w:tcW w:w="2943" w:type="dxa"/>
            <w:shd w:val="clear" w:color="auto" w:fill="00B0F0"/>
          </w:tcPr>
          <w:p w14:paraId="00000014" w14:textId="77777777" w:rsidR="00CC7271" w:rsidRDefault="00FD3F8A">
            <w:pPr>
              <w:widowControl w:val="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Aprobado</w:t>
            </w:r>
          </w:p>
        </w:tc>
        <w:tc>
          <w:tcPr>
            <w:tcW w:w="2943" w:type="dxa"/>
            <w:shd w:val="clear" w:color="auto" w:fill="00B0F0"/>
          </w:tcPr>
          <w:p w14:paraId="00000015" w14:textId="77777777" w:rsidR="00CC7271" w:rsidRDefault="00FD3F8A">
            <w:pPr>
              <w:widowControl w:val="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Publicado</w:t>
            </w:r>
          </w:p>
        </w:tc>
      </w:tr>
      <w:tr w:rsidR="00CC7271" w14:paraId="01DDA6A5" w14:textId="77777777">
        <w:tc>
          <w:tcPr>
            <w:tcW w:w="2942" w:type="dxa"/>
          </w:tcPr>
          <w:p w14:paraId="00000016" w14:textId="51917BC2" w:rsidR="00CC7271" w:rsidRDefault="006B59AC">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10 de junio de 2024 </w:t>
            </w:r>
          </w:p>
        </w:tc>
        <w:tc>
          <w:tcPr>
            <w:tcW w:w="2943" w:type="dxa"/>
          </w:tcPr>
          <w:p w14:paraId="00000017" w14:textId="202CF939" w:rsidR="00CC7271" w:rsidRDefault="006B59AC">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12 de agosto de 2024</w:t>
            </w:r>
          </w:p>
        </w:tc>
        <w:tc>
          <w:tcPr>
            <w:tcW w:w="2943" w:type="dxa"/>
          </w:tcPr>
          <w:p w14:paraId="00000018" w14:textId="522EEB22" w:rsidR="00CC7271" w:rsidRDefault="006B59AC">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10 de septiembre de 2024 </w:t>
            </w:r>
          </w:p>
        </w:tc>
      </w:tr>
    </w:tbl>
    <w:p w14:paraId="00000019" w14:textId="77777777" w:rsidR="00CC7271" w:rsidRDefault="00FD3F8A">
      <w:pPr>
        <w:widowControl w:val="0"/>
        <w:spacing w:line="36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Resumen</w:t>
      </w:r>
    </w:p>
    <w:p w14:paraId="0000001A" w14:textId="77777777" w:rsidR="00CC7271" w:rsidRDefault="00FD3F8A">
      <w:pPr>
        <w:widowControl w:val="0"/>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El uso excesivo de las TIC ha provocado un deterioro en las habilidades sociales y en el aprendizaje. Por eso, desde edades tempranas, es muy importante trabajar a través del aprendizaje cooperativo. El objetivo de este trabajo de investigación es comprobar la eficacia del </w:t>
      </w:r>
      <w:proofErr w:type="spellStart"/>
      <w:r>
        <w:rPr>
          <w:rFonts w:ascii="Times New Roman" w:eastAsia="Times New Roman" w:hAnsi="Times New Roman" w:cs="Times New Roman"/>
          <w:sz w:val="24"/>
          <w:szCs w:val="24"/>
        </w:rPr>
        <w:t>Breakout</w:t>
      </w:r>
      <w:proofErr w:type="spellEnd"/>
      <w:r>
        <w:rPr>
          <w:rFonts w:ascii="Times New Roman" w:eastAsia="Times New Roman" w:hAnsi="Times New Roman" w:cs="Times New Roman"/>
          <w:sz w:val="24"/>
          <w:szCs w:val="24"/>
        </w:rPr>
        <w:t xml:space="preserve"> educativo para el fomento de aprendizaje cooperativo dentro del aula. Para ello, se ha realizado una investigación en la que se compara el nivel de cooperación en el aula en una clase tradicional y en una clase de </w:t>
      </w:r>
      <w:proofErr w:type="spellStart"/>
      <w:r>
        <w:rPr>
          <w:rFonts w:ascii="Times New Roman" w:eastAsia="Times New Roman" w:hAnsi="Times New Roman" w:cs="Times New Roman"/>
          <w:sz w:val="24"/>
          <w:szCs w:val="24"/>
        </w:rPr>
        <w:t>Breakout</w:t>
      </w:r>
      <w:proofErr w:type="spellEnd"/>
      <w:r>
        <w:rPr>
          <w:rFonts w:ascii="Times New Roman" w:eastAsia="Times New Roman" w:hAnsi="Times New Roman" w:cs="Times New Roman"/>
          <w:sz w:val="24"/>
          <w:szCs w:val="24"/>
        </w:rPr>
        <w:t xml:space="preserve"> en Educación Infantil. Se trata de una investigación cuantitativa, a través de una lista de cotejo </w:t>
      </w:r>
      <w:proofErr w:type="spellStart"/>
      <w:r>
        <w:rPr>
          <w:rFonts w:ascii="Times New Roman" w:eastAsia="Times New Roman" w:hAnsi="Times New Roman" w:cs="Times New Roman"/>
          <w:sz w:val="24"/>
          <w:szCs w:val="24"/>
        </w:rPr>
        <w:t>AdHoc</w:t>
      </w:r>
      <w:proofErr w:type="spellEnd"/>
      <w:r>
        <w:rPr>
          <w:rFonts w:ascii="Times New Roman" w:eastAsia="Times New Roman" w:hAnsi="Times New Roman" w:cs="Times New Roman"/>
          <w:sz w:val="24"/>
          <w:szCs w:val="24"/>
        </w:rPr>
        <w:t xml:space="preserve"> evaluada por los investigadores para cada uno de los 63 estudiantes. Como resultados hemos encontrado que el uso del </w:t>
      </w:r>
      <w:proofErr w:type="spellStart"/>
      <w:r>
        <w:rPr>
          <w:rFonts w:ascii="Times New Roman" w:eastAsia="Times New Roman" w:hAnsi="Times New Roman" w:cs="Times New Roman"/>
          <w:sz w:val="24"/>
          <w:szCs w:val="24"/>
        </w:rPr>
        <w:t>Breakout</w:t>
      </w:r>
      <w:proofErr w:type="spellEnd"/>
      <w:r>
        <w:rPr>
          <w:rFonts w:ascii="Times New Roman" w:eastAsia="Times New Roman" w:hAnsi="Times New Roman" w:cs="Times New Roman"/>
          <w:sz w:val="24"/>
          <w:szCs w:val="24"/>
        </w:rPr>
        <w:t xml:space="preserve"> dentro del aula implica una mayor cooperación entre el alumnado, respetando los roles de cada compañero, los turnos de palabra, pidiendo ayuda en los casos necesarios, participando de manera activa en las actividades y contribuyendo a un buen clima dentro del aula. Por ello, podemos concluir que es importante utilizar estas estrategias metodológicas en las aulas.</w:t>
      </w:r>
    </w:p>
    <w:p w14:paraId="0000001B" w14:textId="77777777" w:rsidR="00CC7271" w:rsidRDefault="00FD3F8A">
      <w:pPr>
        <w:widowControl w:val="0"/>
        <w:spacing w:line="360" w:lineRule="auto"/>
        <w:rPr>
          <w:rFonts w:ascii="Times New Roman" w:eastAsia="Times New Roman" w:hAnsi="Times New Roman" w:cs="Times New Roman"/>
          <w:sz w:val="24"/>
          <w:szCs w:val="24"/>
        </w:rPr>
      </w:pPr>
      <w:r>
        <w:rPr>
          <w:rFonts w:ascii="Times New Roman" w:eastAsia="Times New Roman" w:hAnsi="Times New Roman" w:cs="Times New Roman"/>
          <w:i/>
          <w:color w:val="000000"/>
          <w:sz w:val="28"/>
          <w:szCs w:val="28"/>
        </w:rPr>
        <w:t xml:space="preserve">Palabras clave: </w:t>
      </w:r>
      <w:r>
        <w:rPr>
          <w:rFonts w:ascii="Times New Roman" w:eastAsia="Times New Roman" w:hAnsi="Times New Roman" w:cs="Times New Roman"/>
          <w:color w:val="000000"/>
          <w:sz w:val="24"/>
          <w:szCs w:val="24"/>
        </w:rPr>
        <w:t xml:space="preserve">Cooperación, </w:t>
      </w:r>
      <w:proofErr w:type="spellStart"/>
      <w:r>
        <w:rPr>
          <w:rFonts w:ascii="Times New Roman" w:eastAsia="Times New Roman" w:hAnsi="Times New Roman" w:cs="Times New Roman"/>
          <w:sz w:val="24"/>
          <w:szCs w:val="24"/>
        </w:rPr>
        <w:t>B</w:t>
      </w:r>
      <w:r>
        <w:rPr>
          <w:rFonts w:ascii="Times New Roman" w:eastAsia="Times New Roman" w:hAnsi="Times New Roman" w:cs="Times New Roman"/>
          <w:color w:val="000000"/>
          <w:sz w:val="24"/>
          <w:szCs w:val="24"/>
        </w:rPr>
        <w:t>reakout</w:t>
      </w:r>
      <w:proofErr w:type="spellEnd"/>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sz w:val="24"/>
          <w:szCs w:val="24"/>
        </w:rPr>
        <w:t>infantil, trabajo en equipo.</w:t>
      </w:r>
    </w:p>
    <w:p w14:paraId="0000001C" w14:textId="77777777" w:rsidR="00CC7271" w:rsidRPr="00FD3F8A" w:rsidRDefault="00FD3F8A">
      <w:pPr>
        <w:widowControl w:val="0"/>
        <w:spacing w:line="360" w:lineRule="auto"/>
        <w:rPr>
          <w:rFonts w:ascii="Times New Roman" w:eastAsia="Times New Roman" w:hAnsi="Times New Roman" w:cs="Times New Roman"/>
          <w:b/>
          <w:sz w:val="28"/>
          <w:szCs w:val="28"/>
          <w:lang w:val="en-US"/>
        </w:rPr>
      </w:pPr>
      <w:r w:rsidRPr="00FD3F8A">
        <w:rPr>
          <w:rFonts w:ascii="Times New Roman" w:eastAsia="Times New Roman" w:hAnsi="Times New Roman" w:cs="Times New Roman"/>
          <w:b/>
          <w:sz w:val="28"/>
          <w:szCs w:val="28"/>
          <w:lang w:val="en-US"/>
        </w:rPr>
        <w:t>Abstract</w:t>
      </w:r>
    </w:p>
    <w:p w14:paraId="0000001D" w14:textId="77777777" w:rsidR="00CC7271" w:rsidRPr="00633EF9" w:rsidRDefault="00FD3F8A">
      <w:pPr>
        <w:widowControl w:val="0"/>
        <w:spacing w:after="0" w:line="308" w:lineRule="auto"/>
        <w:jc w:val="both"/>
        <w:rPr>
          <w:rFonts w:ascii="Times New Roman" w:eastAsia="Times New Roman" w:hAnsi="Times New Roman" w:cs="Times New Roman"/>
          <w:sz w:val="24"/>
          <w:szCs w:val="24"/>
          <w:lang w:val="en-US"/>
        </w:rPr>
      </w:pPr>
      <w:r w:rsidRPr="00633EF9">
        <w:rPr>
          <w:rFonts w:ascii="Times New Roman" w:eastAsia="Times New Roman" w:hAnsi="Times New Roman" w:cs="Times New Roman"/>
          <w:sz w:val="24"/>
          <w:szCs w:val="24"/>
          <w:lang w:val="en-US"/>
        </w:rPr>
        <w:t xml:space="preserve">The excessive use of ICT has caused a deterioration in social skills and learning. Therefore, from an early age, it is very important to work through cooperative learning. This research aims to test the effectiveness of educational Breakout in promoting cooperative learning in the classroom. For this purpose, research has been carried out to compare the level of cooperation in the classroom in a traditional class and a Breakout class in Early Childhood Education. This is a quantitative research, through an </w:t>
      </w:r>
      <w:proofErr w:type="spellStart"/>
      <w:r w:rsidRPr="00633EF9">
        <w:rPr>
          <w:rFonts w:ascii="Times New Roman" w:eastAsia="Times New Roman" w:hAnsi="Times New Roman" w:cs="Times New Roman"/>
          <w:sz w:val="24"/>
          <w:szCs w:val="24"/>
          <w:lang w:val="en-US"/>
        </w:rPr>
        <w:t>AdHoc</w:t>
      </w:r>
      <w:proofErr w:type="spellEnd"/>
      <w:r w:rsidRPr="00633EF9">
        <w:rPr>
          <w:rFonts w:ascii="Times New Roman" w:eastAsia="Times New Roman" w:hAnsi="Times New Roman" w:cs="Times New Roman"/>
          <w:sz w:val="24"/>
          <w:szCs w:val="24"/>
          <w:lang w:val="en-US"/>
        </w:rPr>
        <w:t xml:space="preserve"> checklist evaluated by the researchers for each of the 63 students. As a result, we have found that the use of Breakout in the classroom implies greater cooperation among students, respecting the roles of each classmate, taking turns to speak, asking for help when necessary, participating actively in the activities, and contributing to a good atmosphere in the classroom. Therefore, it is important to use these methodological strategies in the classroom.</w:t>
      </w:r>
    </w:p>
    <w:p w14:paraId="0000001E" w14:textId="77777777" w:rsidR="00CC7271" w:rsidRPr="00633EF9" w:rsidRDefault="00FD3F8A">
      <w:pPr>
        <w:widowControl w:val="0"/>
        <w:spacing w:line="360" w:lineRule="auto"/>
        <w:rPr>
          <w:rFonts w:ascii="Times New Roman" w:eastAsia="Times New Roman" w:hAnsi="Times New Roman" w:cs="Times New Roman"/>
          <w:sz w:val="24"/>
          <w:szCs w:val="24"/>
          <w:lang w:val="en-US"/>
        </w:rPr>
      </w:pPr>
      <w:r w:rsidRPr="00633EF9">
        <w:rPr>
          <w:rFonts w:ascii="Times New Roman" w:eastAsia="Times New Roman" w:hAnsi="Times New Roman" w:cs="Times New Roman"/>
          <w:i/>
          <w:iCs/>
          <w:sz w:val="24"/>
          <w:szCs w:val="24"/>
          <w:lang w:val="en-US"/>
        </w:rPr>
        <w:lastRenderedPageBreak/>
        <w:t>Keywords:</w:t>
      </w:r>
      <w:r w:rsidRPr="00633EF9">
        <w:rPr>
          <w:rFonts w:ascii="Times New Roman" w:eastAsia="Times New Roman" w:hAnsi="Times New Roman" w:cs="Times New Roman"/>
          <w:sz w:val="24"/>
          <w:szCs w:val="24"/>
          <w:lang w:val="en-US"/>
        </w:rPr>
        <w:t xml:space="preserve"> Cooperative, Breakout, early childhood education, teamwork.</w:t>
      </w:r>
    </w:p>
    <w:p w14:paraId="0000001F" w14:textId="77777777" w:rsidR="00CC7271" w:rsidRDefault="00FD3F8A">
      <w:pPr>
        <w:widowControl w:val="0"/>
        <w:spacing w:line="360" w:lineRule="auto"/>
        <w:jc w:val="center"/>
        <w:rPr>
          <w:rFonts w:ascii="Times New Roman" w:eastAsia="Times New Roman" w:hAnsi="Times New Roman" w:cs="Times New Roman"/>
          <w:sz w:val="24"/>
          <w:szCs w:val="24"/>
          <w:highlight w:val="yellow"/>
        </w:rPr>
      </w:pPr>
      <w:r>
        <w:rPr>
          <w:rFonts w:ascii="Times New Roman" w:eastAsia="Times New Roman" w:hAnsi="Times New Roman" w:cs="Times New Roman"/>
          <w:b/>
          <w:sz w:val="28"/>
          <w:szCs w:val="28"/>
        </w:rPr>
        <w:t>INTRODUCCIÓN</w:t>
      </w:r>
    </w:p>
    <w:p w14:paraId="00000020" w14:textId="77777777" w:rsidR="00CC7271" w:rsidRDefault="00FD3F8A">
      <w:pPr>
        <w:widowControl w:val="0"/>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El uso excesivo de las Tecnologías de la Información y Comunicación, cada vez desde edades más tempranas (Kumar et al., 2023) ha dado lugar a una serie de repercusiones que afectan a la educación. Tal es así que diversos autores han demostrado problemas de aprendizaje, bajo desempeño académico, deterioro en las habilidades sociales y comportamientos antisociales (Cheung et al., 2017; Gamito et al., 2017; </w:t>
      </w:r>
      <w:proofErr w:type="spellStart"/>
      <w:r>
        <w:rPr>
          <w:rFonts w:ascii="Times New Roman" w:eastAsia="Times New Roman" w:hAnsi="Times New Roman" w:cs="Times New Roman"/>
          <w:sz w:val="24"/>
          <w:szCs w:val="24"/>
        </w:rPr>
        <w:t>Lissak</w:t>
      </w:r>
      <w:proofErr w:type="spellEnd"/>
      <w:r>
        <w:rPr>
          <w:rFonts w:ascii="Times New Roman" w:eastAsia="Times New Roman" w:hAnsi="Times New Roman" w:cs="Times New Roman"/>
          <w:sz w:val="24"/>
          <w:szCs w:val="24"/>
        </w:rPr>
        <w:t>, 2018). En este sentido, es muy importante trabajar desde la primera infancia a través del aprendizaje cooperativo.</w:t>
      </w:r>
    </w:p>
    <w:p w14:paraId="00000021" w14:textId="77777777" w:rsidR="00CC7271" w:rsidRDefault="00FD3F8A">
      <w:pPr>
        <w:widowControl w:val="0"/>
        <w:spacing w:before="240" w:after="24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Antes de profundizar en el concepto “aprendizaje cooperativo”, es necesario definir el término “cooperación”. Atendiendo a Prieto (2007), la cooperación supone aprender de forma conjunta para alcanzar objetivos comunes. Por lo tanto, el aprendizaje cooperativo supone que cada alumno aprenda de sus compañeros (Martínez, 2021) fomentando así una mejora en las habilidades cognitivas y un aumento de las interacciones sociales (Zurita, 2020). </w:t>
      </w:r>
    </w:p>
    <w:p w14:paraId="00000022" w14:textId="77777777" w:rsidR="00CC7271" w:rsidRDefault="00FD3F8A">
      <w:pPr>
        <w:widowControl w:val="0"/>
        <w:spacing w:before="240" w:after="24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En las actividades cooperativas, el alumnado trabaja de forma coordinada para maximizar su propio aprendizaje y el de sus compañeros. Los principios básicos del aprendizaje cooperativo son (Johnson, 2009):</w:t>
      </w:r>
    </w:p>
    <w:p w14:paraId="00000023" w14:textId="77777777" w:rsidR="00CC7271" w:rsidRDefault="00FD3F8A">
      <w:pPr>
        <w:widowControl w:val="0"/>
        <w:numPr>
          <w:ilvl w:val="0"/>
          <w:numId w:val="1"/>
        </w:numPr>
        <w:spacing w:before="240"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Interdependencia positiva: los estudiantes se comprometen tanto con su aprendizaje individual como grupal, siendo conscientes de que el éxito individual depende del éxito grupal. </w:t>
      </w:r>
    </w:p>
    <w:p w14:paraId="00000024" w14:textId="77777777" w:rsidR="00CC7271" w:rsidRDefault="00FD3F8A">
      <w:pPr>
        <w:widowControl w:val="0"/>
        <w:numPr>
          <w:ilvl w:val="0"/>
          <w:numId w:val="1"/>
        </w:num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Interacción enriquecedora: los escolares muestran actitudes de apoyo hacia los demás para lograr el objetivo del grupo.</w:t>
      </w:r>
    </w:p>
    <w:p w14:paraId="00000025" w14:textId="77777777" w:rsidR="00CC7271" w:rsidRDefault="00FD3F8A">
      <w:pPr>
        <w:widowControl w:val="0"/>
        <w:numPr>
          <w:ilvl w:val="0"/>
          <w:numId w:val="1"/>
        </w:num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Compromiso individual: cada miembro del grupo se compromete a contribuir con su esfuerzo, habilidades y conocimientos para conseguir los propósitos comunes. </w:t>
      </w:r>
    </w:p>
    <w:p w14:paraId="00000026" w14:textId="77777777" w:rsidR="00CC7271" w:rsidRDefault="00FD3F8A">
      <w:pPr>
        <w:widowControl w:val="0"/>
        <w:numPr>
          <w:ilvl w:val="0"/>
          <w:numId w:val="1"/>
        </w:num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Uso de habilidades interpersonales: esforzarse por alcanzar un objetivo común requiere poner en práctica una serie de habilidades sociales como conocerse los unos a los otros, comunicarse de forma clara, aceptarse mutuamente o resolver los conflictos constructivamente.</w:t>
      </w:r>
    </w:p>
    <w:p w14:paraId="00000027" w14:textId="77777777" w:rsidR="00CC7271" w:rsidRDefault="00FD3F8A">
      <w:pPr>
        <w:widowControl w:val="0"/>
        <w:numPr>
          <w:ilvl w:val="0"/>
          <w:numId w:val="1"/>
        </w:numPr>
        <w:spacing w:after="24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Valoración frecuente de cómo funciona el grupo, a fin de mejorar el rendimiento futuro.</w:t>
      </w:r>
    </w:p>
    <w:p w14:paraId="00000028" w14:textId="77777777" w:rsidR="00CC7271" w:rsidRDefault="00FD3F8A">
      <w:pPr>
        <w:widowControl w:val="0"/>
        <w:spacing w:before="240" w:after="240" w:line="360" w:lineRule="auto"/>
        <w:jc w:val="both"/>
        <w:rPr>
          <w:rFonts w:ascii="Times New Roman" w:eastAsia="Times New Roman" w:hAnsi="Times New Roman" w:cs="Times New Roman"/>
          <w:sz w:val="24"/>
          <w:szCs w:val="24"/>
          <w:highlight w:val="yellow"/>
        </w:rPr>
      </w:pPr>
      <w:r>
        <w:rPr>
          <w:rFonts w:ascii="Times New Roman" w:eastAsia="Times New Roman" w:hAnsi="Times New Roman" w:cs="Times New Roman"/>
          <w:sz w:val="24"/>
          <w:szCs w:val="24"/>
        </w:rPr>
        <w:t xml:space="preserve">Concretamente, el trabajo cooperativo es importante en la etapa de Educación Infantil, puesto que no solo facilita el aprendizaje académico, sino que también </w:t>
      </w:r>
      <w:r w:rsidRPr="0019723F">
        <w:rPr>
          <w:rFonts w:ascii="Times New Roman" w:eastAsia="Times New Roman" w:hAnsi="Times New Roman" w:cs="Times New Roman"/>
          <w:sz w:val="24"/>
          <w:szCs w:val="24"/>
        </w:rPr>
        <w:t>contribuye significativamente al desarrollo social, emocional y cognitivo de los menores (Brown et al., 2009). En la primera infancia, los niños y niñas atraviesan etapas clave en su desarrollo, donde la interacción con sus iguales es esencial (Peinado et al., 2022).  En esta fase, los infantes empiezan a aprender sobre conceptos como compartir, la toma de turnos, la empatía y cómo resolver conflictos (de Lucas, 2024), lo que sienta las bases para su vida social en el futuro (</w:t>
      </w:r>
      <w:proofErr w:type="spellStart"/>
      <w:r w:rsidRPr="0019723F">
        <w:rPr>
          <w:rFonts w:ascii="Times New Roman" w:eastAsia="Times New Roman" w:hAnsi="Times New Roman" w:cs="Times New Roman"/>
          <w:sz w:val="24"/>
          <w:szCs w:val="24"/>
        </w:rPr>
        <w:t>Abrahanm</w:t>
      </w:r>
      <w:proofErr w:type="spellEnd"/>
      <w:r w:rsidRPr="0019723F">
        <w:rPr>
          <w:rFonts w:ascii="Times New Roman" w:eastAsia="Times New Roman" w:hAnsi="Times New Roman" w:cs="Times New Roman"/>
          <w:sz w:val="24"/>
          <w:szCs w:val="24"/>
        </w:rPr>
        <w:t xml:space="preserve"> et al., 2022; Larios, 2017) y contribuye a la formación integral del individuo (</w:t>
      </w:r>
      <w:proofErr w:type="spellStart"/>
      <w:r w:rsidRPr="0019723F">
        <w:rPr>
          <w:rFonts w:ascii="Times New Roman" w:eastAsia="Times New Roman" w:hAnsi="Times New Roman" w:cs="Times New Roman"/>
          <w:sz w:val="24"/>
          <w:szCs w:val="24"/>
        </w:rPr>
        <w:t>Gómet</w:t>
      </w:r>
      <w:proofErr w:type="spellEnd"/>
      <w:r w:rsidRPr="0019723F">
        <w:rPr>
          <w:rFonts w:ascii="Times New Roman" w:eastAsia="Times New Roman" w:hAnsi="Times New Roman" w:cs="Times New Roman"/>
          <w:sz w:val="24"/>
          <w:szCs w:val="24"/>
        </w:rPr>
        <w:t xml:space="preserve"> et al., 2014). La educación inicial es fundamental </w:t>
      </w:r>
      <w:r>
        <w:rPr>
          <w:rFonts w:ascii="Times New Roman" w:eastAsia="Times New Roman" w:hAnsi="Times New Roman" w:cs="Times New Roman"/>
          <w:sz w:val="24"/>
          <w:szCs w:val="24"/>
        </w:rPr>
        <w:t>para asentar buenas conductas sociales que perdurarán en el futuro. Es en esta etapa cuando los infantes desarrollan habilidades de interacción social, comunicación y cooperación que serán de vital importancia a lo largo de su vida (</w:t>
      </w:r>
      <w:proofErr w:type="spellStart"/>
      <w:r>
        <w:rPr>
          <w:rFonts w:ascii="Times New Roman" w:eastAsia="Times New Roman" w:hAnsi="Times New Roman" w:cs="Times New Roman"/>
          <w:sz w:val="24"/>
          <w:szCs w:val="24"/>
        </w:rPr>
        <w:t>Mondi</w:t>
      </w:r>
      <w:proofErr w:type="spellEnd"/>
      <w:r>
        <w:rPr>
          <w:rFonts w:ascii="Times New Roman" w:eastAsia="Times New Roman" w:hAnsi="Times New Roman" w:cs="Times New Roman"/>
          <w:sz w:val="24"/>
          <w:szCs w:val="24"/>
        </w:rPr>
        <w:t xml:space="preserve"> et al., 2021). En este sentido, el aprendizaje cooperativo es una estrategia pedagógica idónea en este proceso, pues fomenta el trabajo en equipo, estimula el desarrollo de habilidades de resolución de problemas de manera conjunta, mejora la comunicación verbal y no verbal, favorece el apoyo emocional y social entre compañeros y facilita el desarrollo de habilidades para interactuar de manera efectiva con los demás (</w:t>
      </w:r>
      <w:proofErr w:type="spellStart"/>
      <w:r>
        <w:rPr>
          <w:rFonts w:ascii="Times New Roman" w:eastAsia="Times New Roman" w:hAnsi="Times New Roman" w:cs="Times New Roman"/>
          <w:sz w:val="24"/>
          <w:szCs w:val="24"/>
        </w:rPr>
        <w:t>Gholamali</w:t>
      </w:r>
      <w:proofErr w:type="spellEnd"/>
      <w:r>
        <w:rPr>
          <w:rFonts w:ascii="Times New Roman" w:eastAsia="Times New Roman" w:hAnsi="Times New Roman" w:cs="Times New Roman"/>
          <w:sz w:val="24"/>
          <w:szCs w:val="24"/>
        </w:rPr>
        <w:t xml:space="preserve"> et al., 2011; Gillies, 2016). Asimismo, el aprendizaje cooperativo es fundamental para la adquisición de valores por parte de los más pequeños, asentando las bases para convertirse en sujetos comprometidos, responsables y empáticos, siendo crucial para su desarrollo integral (</w:t>
      </w:r>
      <w:proofErr w:type="spellStart"/>
      <w:r>
        <w:rPr>
          <w:rFonts w:ascii="Times New Roman" w:eastAsia="Times New Roman" w:hAnsi="Times New Roman" w:cs="Times New Roman"/>
          <w:sz w:val="24"/>
          <w:szCs w:val="24"/>
        </w:rPr>
        <w:t>Suryadi</w:t>
      </w:r>
      <w:proofErr w:type="spellEnd"/>
      <w:r>
        <w:rPr>
          <w:rFonts w:ascii="Times New Roman" w:eastAsia="Times New Roman" w:hAnsi="Times New Roman" w:cs="Times New Roman"/>
          <w:sz w:val="24"/>
          <w:szCs w:val="24"/>
        </w:rPr>
        <w:t xml:space="preserve"> et al., 2024). </w:t>
      </w:r>
    </w:p>
    <w:p w14:paraId="0000002B" w14:textId="182239CD" w:rsidR="00CC7271" w:rsidRDefault="00FD3F8A">
      <w:pPr>
        <w:widowControl w:val="0"/>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En este sentido, han emergido en los últimos años una serie de estrategias metodológicas que fomentan la interacción del alumnado, participación y compromiso (Pedreira y </w:t>
      </w:r>
      <w:proofErr w:type="spellStart"/>
      <w:r>
        <w:rPr>
          <w:rFonts w:ascii="Times New Roman" w:eastAsia="Times New Roman" w:hAnsi="Times New Roman" w:cs="Times New Roman"/>
          <w:sz w:val="24"/>
          <w:szCs w:val="24"/>
        </w:rPr>
        <w:t>Fagundo</w:t>
      </w:r>
      <w:proofErr w:type="spellEnd"/>
      <w:r>
        <w:rPr>
          <w:rFonts w:ascii="Times New Roman" w:eastAsia="Times New Roman" w:hAnsi="Times New Roman" w:cs="Times New Roman"/>
          <w:sz w:val="24"/>
          <w:szCs w:val="24"/>
        </w:rPr>
        <w:t xml:space="preserve">, 2022), </w:t>
      </w:r>
      <w:r>
        <w:rPr>
          <w:rFonts w:ascii="Times New Roman" w:eastAsia="Times New Roman" w:hAnsi="Times New Roman" w:cs="Times New Roman"/>
          <w:sz w:val="24"/>
          <w:szCs w:val="24"/>
        </w:rPr>
        <w:lastRenderedPageBreak/>
        <w:t xml:space="preserve">como es el caso de las </w:t>
      </w:r>
      <w:proofErr w:type="spellStart"/>
      <w:r>
        <w:rPr>
          <w:rFonts w:ascii="Times New Roman" w:eastAsia="Times New Roman" w:hAnsi="Times New Roman" w:cs="Times New Roman"/>
          <w:sz w:val="24"/>
          <w:szCs w:val="24"/>
        </w:rPr>
        <w:t>microgamifiaciones</w:t>
      </w:r>
      <w:proofErr w:type="spellEnd"/>
      <w:r>
        <w:rPr>
          <w:rFonts w:ascii="Times New Roman" w:eastAsia="Times New Roman" w:hAnsi="Times New Roman" w:cs="Times New Roman"/>
          <w:sz w:val="24"/>
          <w:szCs w:val="24"/>
        </w:rPr>
        <w:t xml:space="preserve"> que se centran en el estudiante (Parejo y </w:t>
      </w:r>
      <w:proofErr w:type="spellStart"/>
      <w:r>
        <w:rPr>
          <w:rFonts w:ascii="Times New Roman" w:eastAsia="Times New Roman" w:hAnsi="Times New Roman" w:cs="Times New Roman"/>
          <w:sz w:val="24"/>
          <w:szCs w:val="24"/>
        </w:rPr>
        <w:t>Etreros</w:t>
      </w:r>
      <w:proofErr w:type="spellEnd"/>
      <w:r>
        <w:rPr>
          <w:rFonts w:ascii="Times New Roman" w:eastAsia="Times New Roman" w:hAnsi="Times New Roman" w:cs="Times New Roman"/>
          <w:sz w:val="24"/>
          <w:szCs w:val="24"/>
        </w:rPr>
        <w:t xml:space="preserve">, 2020). En este estudio, se compara la estrategia metodológica del </w:t>
      </w:r>
      <w:proofErr w:type="spellStart"/>
      <w:r>
        <w:rPr>
          <w:rFonts w:ascii="Times New Roman" w:eastAsia="Times New Roman" w:hAnsi="Times New Roman" w:cs="Times New Roman"/>
          <w:sz w:val="24"/>
          <w:szCs w:val="24"/>
        </w:rPr>
        <w:t>Breakout</w:t>
      </w:r>
      <w:proofErr w:type="spellEnd"/>
      <w:r>
        <w:rPr>
          <w:rFonts w:ascii="Times New Roman" w:eastAsia="Times New Roman" w:hAnsi="Times New Roman" w:cs="Times New Roman"/>
          <w:sz w:val="24"/>
          <w:szCs w:val="24"/>
        </w:rPr>
        <w:t xml:space="preserve"> educativo con una rutina tradicional. Los juegos de </w:t>
      </w:r>
      <w:proofErr w:type="spellStart"/>
      <w:r>
        <w:rPr>
          <w:rFonts w:ascii="Times New Roman" w:eastAsia="Times New Roman" w:hAnsi="Times New Roman" w:cs="Times New Roman"/>
          <w:sz w:val="24"/>
          <w:szCs w:val="24"/>
        </w:rPr>
        <w:t>Breakout</w:t>
      </w:r>
      <w:proofErr w:type="spellEnd"/>
      <w:r>
        <w:rPr>
          <w:rFonts w:ascii="Times New Roman" w:eastAsia="Times New Roman" w:hAnsi="Times New Roman" w:cs="Times New Roman"/>
          <w:sz w:val="24"/>
          <w:szCs w:val="24"/>
        </w:rPr>
        <w:t xml:space="preserve"> son una herramienta de aprendizaje basada en la gamificación dentro del ámbito </w:t>
      </w:r>
      <w:r w:rsidRPr="0019723F">
        <w:rPr>
          <w:rFonts w:ascii="Times New Roman" w:eastAsia="Times New Roman" w:hAnsi="Times New Roman" w:cs="Times New Roman"/>
          <w:sz w:val="24"/>
          <w:szCs w:val="24"/>
        </w:rPr>
        <w:t xml:space="preserve">educativo (Nicholson, 2018). De acuerdo con Negre (2017), el objetivo de un </w:t>
      </w:r>
      <w:proofErr w:type="spellStart"/>
      <w:r w:rsidRPr="0019723F">
        <w:rPr>
          <w:rFonts w:ascii="Times New Roman" w:eastAsia="Times New Roman" w:hAnsi="Times New Roman" w:cs="Times New Roman"/>
          <w:sz w:val="24"/>
          <w:szCs w:val="24"/>
        </w:rPr>
        <w:t>Breakout</w:t>
      </w:r>
      <w:proofErr w:type="spellEnd"/>
      <w:r w:rsidRPr="0019723F">
        <w:rPr>
          <w:rFonts w:ascii="Times New Roman" w:eastAsia="Times New Roman" w:hAnsi="Times New Roman" w:cs="Times New Roman"/>
          <w:sz w:val="24"/>
          <w:szCs w:val="24"/>
        </w:rPr>
        <w:t xml:space="preserve"> consiste en “abrir una caja cerrada con diferentes candados. Para conseguir los códigos que los abren es necesario resolver problemas, cuestionarios y enigmas”. Este enfoque  no solo fomenta el trabajo en equipo, sino que también tiene un alto potencial para el desarrollo infantil y el proceso educativo de los más pequeños puesto que no solo se trabajan contenidos aislados sino que también desarrollan habilidades que le permitirán afrontar retos en la vida adulta (Tiana, 2011). Además, estimula su curiosidad e interés mediante un aprendizaje lúdico y activo (Gutiérrez, 2023). También, promueve el pensamiento crítico (Cornellà et al., 2020) y la resolución de problemas (</w:t>
      </w:r>
      <w:proofErr w:type="spellStart"/>
      <w:r w:rsidRPr="0019723F">
        <w:rPr>
          <w:rFonts w:ascii="Times New Roman" w:eastAsia="Times New Roman" w:hAnsi="Times New Roman" w:cs="Times New Roman"/>
          <w:sz w:val="24"/>
          <w:szCs w:val="24"/>
        </w:rPr>
        <w:t>Brusi</w:t>
      </w:r>
      <w:proofErr w:type="spellEnd"/>
      <w:r w:rsidRPr="0019723F">
        <w:rPr>
          <w:rFonts w:ascii="Times New Roman" w:eastAsia="Times New Roman" w:hAnsi="Times New Roman" w:cs="Times New Roman"/>
          <w:sz w:val="24"/>
          <w:szCs w:val="24"/>
        </w:rPr>
        <w:t xml:space="preserve"> y </w:t>
      </w:r>
      <w:proofErr w:type="spellStart"/>
      <w:r w:rsidRPr="0019723F">
        <w:rPr>
          <w:rFonts w:ascii="Times New Roman" w:eastAsia="Times New Roman" w:hAnsi="Times New Roman" w:cs="Times New Roman"/>
          <w:sz w:val="24"/>
          <w:szCs w:val="24"/>
        </w:rPr>
        <w:t>Cornellà</w:t>
      </w:r>
      <w:proofErr w:type="spellEnd"/>
      <w:r w:rsidRPr="0019723F">
        <w:rPr>
          <w:rFonts w:ascii="Times New Roman" w:eastAsia="Times New Roman" w:hAnsi="Times New Roman" w:cs="Times New Roman"/>
          <w:sz w:val="24"/>
          <w:szCs w:val="24"/>
        </w:rPr>
        <w:t xml:space="preserve">, 2020; Parejo y </w:t>
      </w:r>
      <w:proofErr w:type="spellStart"/>
      <w:r w:rsidRPr="0019723F">
        <w:rPr>
          <w:rFonts w:ascii="Times New Roman" w:eastAsia="Times New Roman" w:hAnsi="Times New Roman" w:cs="Times New Roman"/>
          <w:sz w:val="24"/>
          <w:szCs w:val="24"/>
        </w:rPr>
        <w:t>Etreros</w:t>
      </w:r>
      <w:proofErr w:type="spellEnd"/>
      <w:r w:rsidRPr="0019723F">
        <w:rPr>
          <w:rFonts w:ascii="Times New Roman" w:eastAsia="Times New Roman" w:hAnsi="Times New Roman" w:cs="Times New Roman"/>
          <w:sz w:val="24"/>
          <w:szCs w:val="24"/>
        </w:rPr>
        <w:t xml:space="preserve">, 2020), mejorando la retención de información. Al enfrentar retos juntos, los niños y niñas desarrollan apoyo emocional y empatía, contribuyendo a su bienestar (Sánchez, 2022). A su vez, este enfoque se adapta a las necesidades individuales de cada estudiante (Rodríguez et al., 2023), facilitando un aprendizaje integral. En base a las diez razones </w:t>
      </w:r>
      <w:r>
        <w:rPr>
          <w:rFonts w:ascii="Times New Roman" w:eastAsia="Times New Roman" w:hAnsi="Times New Roman" w:cs="Times New Roman"/>
          <w:sz w:val="24"/>
          <w:szCs w:val="24"/>
        </w:rPr>
        <w:t xml:space="preserve">acordadas por </w:t>
      </w:r>
      <w:proofErr w:type="spellStart"/>
      <w:r>
        <w:rPr>
          <w:rFonts w:ascii="Times New Roman" w:eastAsia="Times New Roman" w:hAnsi="Times New Roman" w:cs="Times New Roman"/>
          <w:sz w:val="24"/>
          <w:szCs w:val="24"/>
        </w:rPr>
        <w:t>Maria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Galanis</w:t>
      </w:r>
      <w:proofErr w:type="spellEnd"/>
      <w:r>
        <w:rPr>
          <w:rFonts w:ascii="Times New Roman" w:eastAsia="Times New Roman" w:hAnsi="Times New Roman" w:cs="Times New Roman"/>
          <w:sz w:val="24"/>
          <w:szCs w:val="24"/>
        </w:rPr>
        <w:t xml:space="preserve"> y Sylvia Duckworth, en la Figura 1 se recogen los principales beneficios de esta estrategia metodológica.</w:t>
      </w:r>
    </w:p>
    <w:p w14:paraId="0000002C" w14:textId="77777777" w:rsidR="00CC7271" w:rsidRDefault="00FD3F8A">
      <w:pPr>
        <w:widowControl w:val="0"/>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Figura 1</w:t>
      </w:r>
      <w:r>
        <w:rPr>
          <w:rFonts w:ascii="Times New Roman" w:eastAsia="Times New Roman" w:hAnsi="Times New Roman" w:cs="Times New Roman"/>
          <w:sz w:val="24"/>
          <w:szCs w:val="24"/>
        </w:rPr>
        <w:t xml:space="preserve">. Diez razones para emplear el </w:t>
      </w:r>
      <w:proofErr w:type="spellStart"/>
      <w:r>
        <w:rPr>
          <w:rFonts w:ascii="Times New Roman" w:eastAsia="Times New Roman" w:hAnsi="Times New Roman" w:cs="Times New Roman"/>
          <w:sz w:val="24"/>
          <w:szCs w:val="24"/>
        </w:rPr>
        <w:t>Breakout</w:t>
      </w:r>
      <w:proofErr w:type="spellEnd"/>
      <w:r>
        <w:rPr>
          <w:rFonts w:ascii="Times New Roman" w:eastAsia="Times New Roman" w:hAnsi="Times New Roman" w:cs="Times New Roman"/>
          <w:sz w:val="24"/>
          <w:szCs w:val="24"/>
        </w:rPr>
        <w:t xml:space="preserve"> Educativo en el aula</w:t>
      </w:r>
    </w:p>
    <w:p w14:paraId="0000002D" w14:textId="77777777" w:rsidR="00CC7271" w:rsidRDefault="00FD3F8A">
      <w:pPr>
        <w:widowControl w:val="0"/>
        <w:spacing w:line="36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noProof/>
          <w:color w:val="FF0000"/>
          <w:sz w:val="24"/>
          <w:szCs w:val="24"/>
          <w:lang w:val="en-US" w:eastAsia="en-US"/>
        </w:rPr>
        <w:lastRenderedPageBreak/>
        <w:drawing>
          <wp:inline distT="114300" distB="114300" distL="114300" distR="114300" wp14:anchorId="25190B4B" wp14:editId="4CD2F830">
            <wp:extent cx="3638550" cy="2726655"/>
            <wp:effectExtent l="0" t="0" r="0" b="0"/>
            <wp:docPr id="111"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5"/>
                    <a:srcRect/>
                    <a:stretch>
                      <a:fillRect/>
                    </a:stretch>
                  </pic:blipFill>
                  <pic:spPr>
                    <a:xfrm>
                      <a:off x="0" y="0"/>
                      <a:ext cx="3638550" cy="2726655"/>
                    </a:xfrm>
                    <a:prstGeom prst="rect">
                      <a:avLst/>
                    </a:prstGeom>
                    <a:ln/>
                  </pic:spPr>
                </pic:pic>
              </a:graphicData>
            </a:graphic>
          </wp:inline>
        </w:drawing>
      </w:r>
    </w:p>
    <w:p w14:paraId="0000002E" w14:textId="77777777" w:rsidR="00CC7271" w:rsidRDefault="00FD3F8A">
      <w:pPr>
        <w:widowControl w:val="0"/>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Fuente: Negre (2017)</w:t>
      </w:r>
    </w:p>
    <w:p w14:paraId="0000002F" w14:textId="77777777" w:rsidR="00CC7271" w:rsidRDefault="00D0346A">
      <w:pPr>
        <w:widowControl w:val="0"/>
        <w:spacing w:line="360" w:lineRule="auto"/>
        <w:jc w:val="both"/>
        <w:rPr>
          <w:rFonts w:ascii="Times New Roman" w:eastAsia="Times New Roman" w:hAnsi="Times New Roman" w:cs="Times New Roman"/>
          <w:sz w:val="24"/>
          <w:szCs w:val="24"/>
        </w:rPr>
      </w:pPr>
      <w:sdt>
        <w:sdtPr>
          <w:tag w:val="goog_rdk_0"/>
          <w:id w:val="992610436"/>
        </w:sdtPr>
        <w:sdtEndPr/>
        <w:sdtContent/>
      </w:sdt>
      <w:r w:rsidR="00FD3F8A">
        <w:rPr>
          <w:rFonts w:ascii="Times New Roman" w:eastAsia="Times New Roman" w:hAnsi="Times New Roman" w:cs="Times New Roman"/>
          <w:sz w:val="24"/>
          <w:szCs w:val="24"/>
        </w:rPr>
        <w:t xml:space="preserve">Partimos de la base de que los </w:t>
      </w:r>
      <w:proofErr w:type="spellStart"/>
      <w:r w:rsidR="00FD3F8A">
        <w:rPr>
          <w:rFonts w:ascii="Times New Roman" w:eastAsia="Times New Roman" w:hAnsi="Times New Roman" w:cs="Times New Roman"/>
          <w:sz w:val="24"/>
          <w:szCs w:val="24"/>
        </w:rPr>
        <w:t>Breakout</w:t>
      </w:r>
      <w:proofErr w:type="spellEnd"/>
      <w:r w:rsidR="00FD3F8A">
        <w:rPr>
          <w:rFonts w:ascii="Times New Roman" w:eastAsia="Times New Roman" w:hAnsi="Times New Roman" w:cs="Times New Roman"/>
          <w:sz w:val="24"/>
          <w:szCs w:val="24"/>
        </w:rPr>
        <w:t xml:space="preserve"> son juegos en los que se tienen que resolver ciertas pruebas en grupos (Sánchez-Rodríguez et al., 2020). No obstante, trabajar en grupos no siempre es sinónimo de cooperación. El simple hecho de hacer grupos de trabajo no significa que se trabaje de forma adecuada dentro de él (Lucena, 2019). Un grupo se convierte en equipo cuando cada persona del mismo suma sus esfuerzos para conseguir un objetivo común (</w:t>
      </w:r>
      <w:proofErr w:type="spellStart"/>
      <w:r w:rsidR="00FD3F8A">
        <w:rPr>
          <w:rFonts w:ascii="Times New Roman" w:eastAsia="Times New Roman" w:hAnsi="Times New Roman" w:cs="Times New Roman"/>
          <w:sz w:val="24"/>
          <w:szCs w:val="24"/>
        </w:rPr>
        <w:t>Costumero</w:t>
      </w:r>
      <w:proofErr w:type="spellEnd"/>
      <w:r w:rsidR="00FD3F8A">
        <w:rPr>
          <w:rFonts w:ascii="Times New Roman" w:eastAsia="Times New Roman" w:hAnsi="Times New Roman" w:cs="Times New Roman"/>
          <w:sz w:val="24"/>
          <w:szCs w:val="24"/>
        </w:rPr>
        <w:t>, 2007), y es en ese momento en el que se puede hablar de cooperación.</w:t>
      </w:r>
    </w:p>
    <w:p w14:paraId="00000030" w14:textId="77777777" w:rsidR="00CC7271" w:rsidRDefault="00FD3F8A">
      <w:pPr>
        <w:widowControl w:val="0"/>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López (2019) destaca el hecho de que esa necesidad de trabajar en equipo promueve la inclusión de todo el alumnado y mejora la competencia comunicativa. Ese trabajo en equipo se lleva a cabo a través de diferentes estrategias como el aprendizaje cooperativo (Moliner et al., 2017). Por eso, en esta investigación queríamos resaltar y fomentar el aprendizaje cooperativo.</w:t>
      </w:r>
    </w:p>
    <w:p w14:paraId="00000031" w14:textId="77777777" w:rsidR="00CC7271" w:rsidRPr="0019723F" w:rsidRDefault="00FD3F8A">
      <w:pPr>
        <w:widowControl w:val="0"/>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Por todo lo mencionado anteriormente, la importancia de este estudio reside en la posible implicación del </w:t>
      </w:r>
      <w:proofErr w:type="spellStart"/>
      <w:r>
        <w:rPr>
          <w:rFonts w:ascii="Times New Roman" w:eastAsia="Times New Roman" w:hAnsi="Times New Roman" w:cs="Times New Roman"/>
          <w:sz w:val="24"/>
          <w:szCs w:val="24"/>
        </w:rPr>
        <w:t>Breakout</w:t>
      </w:r>
      <w:proofErr w:type="spellEnd"/>
      <w:r>
        <w:rPr>
          <w:rFonts w:ascii="Times New Roman" w:eastAsia="Times New Roman" w:hAnsi="Times New Roman" w:cs="Times New Roman"/>
          <w:sz w:val="24"/>
          <w:szCs w:val="24"/>
        </w:rPr>
        <w:t xml:space="preserve"> en la cooperación del alumnado. Para ello nos planteamos el objetivo general de comprobar si durante la puesta en marcha de un </w:t>
      </w:r>
      <w:proofErr w:type="spellStart"/>
      <w:r>
        <w:rPr>
          <w:rFonts w:ascii="Times New Roman" w:eastAsia="Times New Roman" w:hAnsi="Times New Roman" w:cs="Times New Roman"/>
          <w:sz w:val="24"/>
          <w:szCs w:val="24"/>
        </w:rPr>
        <w:t>Breakout</w:t>
      </w:r>
      <w:proofErr w:type="spellEnd"/>
      <w:r>
        <w:rPr>
          <w:rFonts w:ascii="Times New Roman" w:eastAsia="Times New Roman" w:hAnsi="Times New Roman" w:cs="Times New Roman"/>
          <w:sz w:val="24"/>
          <w:szCs w:val="24"/>
        </w:rPr>
        <w:t xml:space="preserve"> educativo se desarrolla el </w:t>
      </w:r>
      <w:r>
        <w:rPr>
          <w:rFonts w:ascii="Times New Roman" w:eastAsia="Times New Roman" w:hAnsi="Times New Roman" w:cs="Times New Roman"/>
          <w:sz w:val="24"/>
          <w:szCs w:val="24"/>
        </w:rPr>
        <w:lastRenderedPageBreak/>
        <w:t xml:space="preserve">aprendizaje cooperativo en el alumnado de Educación Infantil. </w:t>
      </w:r>
      <w:r w:rsidRPr="0019723F">
        <w:rPr>
          <w:rFonts w:ascii="Times New Roman" w:eastAsia="Times New Roman" w:hAnsi="Times New Roman" w:cs="Times New Roman"/>
          <w:sz w:val="24"/>
          <w:szCs w:val="24"/>
        </w:rPr>
        <w:t xml:space="preserve">Con base en este objetivo, se plantea la siguiente hipótesis: la implementación de un </w:t>
      </w:r>
      <w:proofErr w:type="spellStart"/>
      <w:r w:rsidRPr="0019723F">
        <w:rPr>
          <w:rFonts w:ascii="Times New Roman" w:eastAsia="Times New Roman" w:hAnsi="Times New Roman" w:cs="Times New Roman"/>
          <w:sz w:val="24"/>
          <w:szCs w:val="24"/>
        </w:rPr>
        <w:t>Breakout</w:t>
      </w:r>
      <w:proofErr w:type="spellEnd"/>
      <w:r w:rsidRPr="0019723F">
        <w:rPr>
          <w:rFonts w:ascii="Times New Roman" w:eastAsia="Times New Roman" w:hAnsi="Times New Roman" w:cs="Times New Roman"/>
          <w:sz w:val="24"/>
          <w:szCs w:val="24"/>
        </w:rPr>
        <w:t xml:space="preserve"> educativo en el aula de Educación Infantil fomenta el desarrollo del aprendizaje cooperativo en el alumnado. </w:t>
      </w:r>
    </w:p>
    <w:p w14:paraId="00000032" w14:textId="77777777" w:rsidR="00CC7271" w:rsidRPr="0019723F" w:rsidRDefault="00FD3F8A">
      <w:pPr>
        <w:widowControl w:val="0"/>
        <w:spacing w:line="360" w:lineRule="auto"/>
        <w:jc w:val="center"/>
        <w:rPr>
          <w:rFonts w:ascii="Times New Roman" w:eastAsia="Times New Roman" w:hAnsi="Times New Roman" w:cs="Times New Roman"/>
          <w:b/>
          <w:bCs/>
          <w:sz w:val="24"/>
          <w:szCs w:val="24"/>
        </w:rPr>
      </w:pPr>
      <w:r w:rsidRPr="0019723F">
        <w:rPr>
          <w:rFonts w:ascii="Times New Roman" w:eastAsia="Times New Roman" w:hAnsi="Times New Roman" w:cs="Times New Roman"/>
          <w:b/>
          <w:bCs/>
          <w:sz w:val="24"/>
          <w:szCs w:val="24"/>
        </w:rPr>
        <w:t>DESARROLLO</w:t>
      </w:r>
    </w:p>
    <w:p w14:paraId="00000034" w14:textId="77777777" w:rsidR="00CC7271" w:rsidRPr="0019723F" w:rsidRDefault="00FD3F8A">
      <w:pPr>
        <w:widowControl w:val="0"/>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 investigación que se ha llevado a cabo ha sido exploratoria, </w:t>
      </w:r>
      <w:r w:rsidRPr="0019723F">
        <w:rPr>
          <w:rFonts w:ascii="Times New Roman" w:eastAsia="Times New Roman" w:hAnsi="Times New Roman" w:cs="Times New Roman"/>
          <w:sz w:val="24"/>
          <w:szCs w:val="24"/>
        </w:rPr>
        <w:t xml:space="preserve">correlacional </w:t>
      </w:r>
      <w:r>
        <w:rPr>
          <w:rFonts w:ascii="Times New Roman" w:eastAsia="Times New Roman" w:hAnsi="Times New Roman" w:cs="Times New Roman"/>
          <w:sz w:val="24"/>
          <w:szCs w:val="24"/>
        </w:rPr>
        <w:t xml:space="preserve">y cuantitativa. </w:t>
      </w:r>
      <w:r w:rsidRPr="0019723F">
        <w:rPr>
          <w:rFonts w:ascii="Times New Roman" w:eastAsia="Times New Roman" w:hAnsi="Times New Roman" w:cs="Times New Roman"/>
          <w:sz w:val="24"/>
          <w:szCs w:val="24"/>
        </w:rPr>
        <w:t xml:space="preserve">Es correlacional puesto que se explica las relaciones (Hernández, et al., 2010) entre las variables independientes (uso del </w:t>
      </w:r>
      <w:proofErr w:type="spellStart"/>
      <w:r w:rsidRPr="0019723F">
        <w:rPr>
          <w:rFonts w:ascii="Times New Roman" w:eastAsia="Times New Roman" w:hAnsi="Times New Roman" w:cs="Times New Roman"/>
          <w:sz w:val="24"/>
          <w:szCs w:val="24"/>
        </w:rPr>
        <w:t>Breakout</w:t>
      </w:r>
      <w:proofErr w:type="spellEnd"/>
      <w:r w:rsidRPr="0019723F">
        <w:rPr>
          <w:rFonts w:ascii="Times New Roman" w:eastAsia="Times New Roman" w:hAnsi="Times New Roman" w:cs="Times New Roman"/>
          <w:sz w:val="24"/>
          <w:szCs w:val="24"/>
        </w:rPr>
        <w:t>) y dependientes (cooperación).</w:t>
      </w:r>
      <w:r>
        <w:rPr>
          <w:rFonts w:ascii="Times New Roman" w:eastAsia="Times New Roman" w:hAnsi="Times New Roman" w:cs="Times New Roman"/>
          <w:sz w:val="24"/>
          <w:szCs w:val="24"/>
        </w:rPr>
        <w:t xml:space="preserve"> </w:t>
      </w:r>
      <w:r w:rsidRPr="0019723F">
        <w:rPr>
          <w:rFonts w:ascii="Times New Roman" w:eastAsia="Times New Roman" w:hAnsi="Times New Roman" w:cs="Times New Roman"/>
          <w:sz w:val="24"/>
          <w:szCs w:val="24"/>
        </w:rPr>
        <w:t xml:space="preserve">Por su parte, las variables que se han controlado ha sido el sexo y el momento de intervención y evaluación. </w:t>
      </w:r>
      <w:r>
        <w:rPr>
          <w:rFonts w:ascii="Times New Roman" w:eastAsia="Times New Roman" w:hAnsi="Times New Roman" w:cs="Times New Roman"/>
          <w:sz w:val="24"/>
          <w:szCs w:val="24"/>
        </w:rPr>
        <w:t xml:space="preserve">El instrumento de evaluación utilizado ha sido una lista de cotejo </w:t>
      </w:r>
      <w:proofErr w:type="spellStart"/>
      <w:r>
        <w:rPr>
          <w:rFonts w:ascii="Times New Roman" w:eastAsia="Times New Roman" w:hAnsi="Times New Roman" w:cs="Times New Roman"/>
          <w:sz w:val="24"/>
          <w:szCs w:val="24"/>
        </w:rPr>
        <w:t>AdHoc</w:t>
      </w:r>
      <w:proofErr w:type="spellEnd"/>
      <w:r>
        <w:rPr>
          <w:rFonts w:ascii="Times New Roman" w:eastAsia="Times New Roman" w:hAnsi="Times New Roman" w:cs="Times New Roman"/>
          <w:sz w:val="24"/>
          <w:szCs w:val="24"/>
        </w:rPr>
        <w:t xml:space="preserve"> sobre cooperación creada y evaluada por los investigadores. </w:t>
      </w:r>
    </w:p>
    <w:p w14:paraId="00000035" w14:textId="77777777" w:rsidR="00CC7271" w:rsidRDefault="00FD3F8A">
      <w:pPr>
        <w:widowControl w:val="0"/>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 evaluación se llevó a cabo por los investigadores a través de la observación directa durante una sesión dentro del aula. Se evaluaron 23 ítems para cada uno de los alumnos que componían la muestra. Para el grupo experimental la sesión se basó en un </w:t>
      </w:r>
      <w:proofErr w:type="spellStart"/>
      <w:r>
        <w:rPr>
          <w:rFonts w:ascii="Times New Roman" w:eastAsia="Times New Roman" w:hAnsi="Times New Roman" w:cs="Times New Roman"/>
          <w:sz w:val="24"/>
          <w:szCs w:val="24"/>
        </w:rPr>
        <w:t>Breakout</w:t>
      </w:r>
      <w:proofErr w:type="spellEnd"/>
      <w:r>
        <w:rPr>
          <w:rFonts w:ascii="Times New Roman" w:eastAsia="Times New Roman" w:hAnsi="Times New Roman" w:cs="Times New Roman"/>
          <w:sz w:val="24"/>
          <w:szCs w:val="24"/>
        </w:rPr>
        <w:t xml:space="preserve"> educativo mientras que el grupo control siguió su rutina diaria. </w:t>
      </w:r>
      <w:r w:rsidRPr="0019723F">
        <w:rPr>
          <w:rFonts w:ascii="Times New Roman" w:eastAsia="Times New Roman" w:hAnsi="Times New Roman" w:cs="Times New Roman"/>
          <w:sz w:val="24"/>
          <w:szCs w:val="24"/>
        </w:rPr>
        <w:t xml:space="preserve">Posteriormente, se analizaron los datos a través del programa estadístico SPSS v.28. </w:t>
      </w:r>
    </w:p>
    <w:p w14:paraId="00000037" w14:textId="22A78DAD" w:rsidR="00CC7271" w:rsidRPr="0019723F" w:rsidRDefault="00FD3F8A">
      <w:pPr>
        <w:widowControl w:val="0"/>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Infantil, con una edad media de 4.889 (SD = 0.364). La totalidad de la muestra se ha dividido en dos grandes grupos, un grupo experimental compuesto por 42 estudiantes y un grupo control de 21 alumnos. La selección de la muestra ha sido no probabilística intencional, ya que no era posible seleccionar un muestreo de probabilidad aleatorio por limitaciones de acceso a las aulas. </w:t>
      </w:r>
      <w:r w:rsidRPr="0019723F">
        <w:rPr>
          <w:rFonts w:ascii="Times New Roman" w:eastAsia="Times New Roman" w:hAnsi="Times New Roman" w:cs="Times New Roman"/>
          <w:sz w:val="24"/>
          <w:szCs w:val="24"/>
        </w:rPr>
        <w:t>La</w:t>
      </w:r>
      <w:r>
        <w:rPr>
          <w:rFonts w:ascii="Times New Roman" w:eastAsia="Times New Roman" w:hAnsi="Times New Roman" w:cs="Times New Roman"/>
          <w:color w:val="FF0000"/>
          <w:sz w:val="24"/>
          <w:szCs w:val="24"/>
        </w:rPr>
        <w:t xml:space="preserve"> </w:t>
      </w:r>
      <w:r w:rsidRPr="0019723F">
        <w:rPr>
          <w:rFonts w:ascii="Times New Roman" w:eastAsia="Times New Roman" w:hAnsi="Times New Roman" w:cs="Times New Roman"/>
          <w:sz w:val="24"/>
          <w:szCs w:val="24"/>
        </w:rPr>
        <w:t xml:space="preserve">inclusión del alumnado en uno u otro grupo ha dependido principalmente de la implicación de los tutores, dejando como grupo control a una de las aulas del mismo nivel. Tanto el grupo control como los grupos experimentales no habían participado previamente en experiencias de </w:t>
      </w:r>
      <w:proofErr w:type="spellStart"/>
      <w:r w:rsidRPr="0019723F">
        <w:rPr>
          <w:rFonts w:ascii="Times New Roman" w:eastAsia="Times New Roman" w:hAnsi="Times New Roman" w:cs="Times New Roman"/>
          <w:sz w:val="24"/>
          <w:szCs w:val="24"/>
        </w:rPr>
        <w:t>Breakout</w:t>
      </w:r>
      <w:proofErr w:type="spellEnd"/>
      <w:r w:rsidRPr="0019723F">
        <w:rPr>
          <w:rFonts w:ascii="Times New Roman" w:eastAsia="Times New Roman" w:hAnsi="Times New Roman" w:cs="Times New Roman"/>
          <w:sz w:val="24"/>
          <w:szCs w:val="24"/>
        </w:rPr>
        <w:t xml:space="preserve">. </w:t>
      </w:r>
    </w:p>
    <w:p w14:paraId="00000039" w14:textId="77777777" w:rsidR="00CC7271" w:rsidRDefault="00FD3F8A">
      <w:pPr>
        <w:widowControl w:val="0"/>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Los niveles de cooperación en el grupo experimental son altos, presentando todos los alumnos niveles por encima del valor medio. La mayoría de los estudiantes se encuentran con una puntuación </w:t>
      </w:r>
      <w:r>
        <w:rPr>
          <w:rFonts w:ascii="Times New Roman" w:eastAsia="Times New Roman" w:hAnsi="Times New Roman" w:cs="Times New Roman"/>
          <w:sz w:val="24"/>
          <w:szCs w:val="24"/>
        </w:rPr>
        <w:lastRenderedPageBreak/>
        <w:t xml:space="preserve">igual o superior a 20. Esto nos indica que la estrategia metodológica </w:t>
      </w:r>
      <w:proofErr w:type="spellStart"/>
      <w:r>
        <w:rPr>
          <w:rFonts w:ascii="Times New Roman" w:eastAsia="Times New Roman" w:hAnsi="Times New Roman" w:cs="Times New Roman"/>
          <w:sz w:val="24"/>
          <w:szCs w:val="24"/>
        </w:rPr>
        <w:t>Breakout</w:t>
      </w:r>
      <w:proofErr w:type="spellEnd"/>
      <w:r>
        <w:rPr>
          <w:rFonts w:ascii="Times New Roman" w:eastAsia="Times New Roman" w:hAnsi="Times New Roman" w:cs="Times New Roman"/>
          <w:sz w:val="24"/>
          <w:szCs w:val="24"/>
        </w:rPr>
        <w:t xml:space="preserve"> educativa promueve la cooperación durante su realización.</w:t>
      </w:r>
    </w:p>
    <w:p w14:paraId="3FF6AA2F" w14:textId="77777777" w:rsidR="005054C5" w:rsidRDefault="005054C5">
      <w:pPr>
        <w:widowControl w:val="0"/>
        <w:spacing w:line="360" w:lineRule="auto"/>
        <w:jc w:val="both"/>
        <w:rPr>
          <w:rFonts w:ascii="Times New Roman" w:eastAsia="Times New Roman" w:hAnsi="Times New Roman" w:cs="Times New Roman"/>
          <w:sz w:val="24"/>
          <w:szCs w:val="24"/>
        </w:rPr>
      </w:pPr>
    </w:p>
    <w:p w14:paraId="0000003A" w14:textId="3ECE9DCF" w:rsidR="00CC7271" w:rsidRDefault="0019723F">
      <w:pPr>
        <w:widowControl w:val="0"/>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F</w:t>
      </w:r>
      <w:r w:rsidR="00FD3F8A">
        <w:rPr>
          <w:rFonts w:ascii="Times New Roman" w:eastAsia="Times New Roman" w:hAnsi="Times New Roman" w:cs="Times New Roman"/>
          <w:b/>
          <w:sz w:val="24"/>
          <w:szCs w:val="24"/>
        </w:rPr>
        <w:t xml:space="preserve">igura </w:t>
      </w:r>
      <w:r w:rsidR="005054C5">
        <w:rPr>
          <w:rFonts w:ascii="Times New Roman" w:eastAsia="Times New Roman" w:hAnsi="Times New Roman" w:cs="Times New Roman"/>
          <w:b/>
          <w:sz w:val="24"/>
          <w:szCs w:val="24"/>
        </w:rPr>
        <w:t>2</w:t>
      </w:r>
      <w:r w:rsidR="00FD3F8A">
        <w:rPr>
          <w:rFonts w:ascii="Times New Roman" w:eastAsia="Times New Roman" w:hAnsi="Times New Roman" w:cs="Times New Roman"/>
          <w:b/>
          <w:sz w:val="24"/>
          <w:szCs w:val="24"/>
        </w:rPr>
        <w:t xml:space="preserve">. </w:t>
      </w:r>
      <w:r w:rsidR="00FD3F8A">
        <w:rPr>
          <w:rFonts w:ascii="Times New Roman" w:eastAsia="Times New Roman" w:hAnsi="Times New Roman" w:cs="Times New Roman"/>
          <w:sz w:val="24"/>
          <w:szCs w:val="24"/>
        </w:rPr>
        <w:t>Puntuaciones de cooperación para el grupo experimental</w:t>
      </w:r>
    </w:p>
    <w:p w14:paraId="0000003B" w14:textId="77777777" w:rsidR="00CC7271" w:rsidRDefault="00FD3F8A" w:rsidP="00633EF9">
      <w:pPr>
        <w:widowControl w:val="0"/>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val="en-US" w:eastAsia="en-US"/>
        </w:rPr>
        <w:drawing>
          <wp:inline distT="114300" distB="114300" distL="114300" distR="114300" wp14:anchorId="54882F44" wp14:editId="0A356C7E">
            <wp:extent cx="5010199" cy="2086548"/>
            <wp:effectExtent l="0" t="0" r="0" b="9525"/>
            <wp:docPr id="113"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6"/>
                    <a:srcRect t="6553" b="7573"/>
                    <a:stretch>
                      <a:fillRect/>
                    </a:stretch>
                  </pic:blipFill>
                  <pic:spPr>
                    <a:xfrm>
                      <a:off x="0" y="0"/>
                      <a:ext cx="5016237" cy="2089063"/>
                    </a:xfrm>
                    <a:prstGeom prst="rect">
                      <a:avLst/>
                    </a:prstGeom>
                    <a:ln/>
                  </pic:spPr>
                </pic:pic>
              </a:graphicData>
            </a:graphic>
          </wp:inline>
        </w:drawing>
      </w:r>
    </w:p>
    <w:p w14:paraId="0000003C" w14:textId="77777777" w:rsidR="00CC7271" w:rsidRDefault="00FD3F8A">
      <w:pPr>
        <w:widowControl w:val="0"/>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Fuente: Elaboración propia en SPSS a través de la matriz de investigación</w:t>
      </w:r>
    </w:p>
    <w:p w14:paraId="0000003D" w14:textId="77777777" w:rsidR="00CC7271" w:rsidRDefault="00FD3F8A">
      <w:pPr>
        <w:widowControl w:val="0"/>
        <w:spacing w:line="36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Diferencias por grupo</w:t>
      </w:r>
    </w:p>
    <w:p w14:paraId="0000003E" w14:textId="77777777" w:rsidR="00CC7271" w:rsidRDefault="00FD3F8A">
      <w:pPr>
        <w:widowControl w:val="0"/>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Tal y como se puede apreciar en la Tabla 1, hemos encontrado diferencias estadísticamente significativas entre ambos grupos. Se observan tres puntos de diferencia en las puntuaciones mínimas y siete puntos de diferencia en las máximas, quedando el grupo experimental siempre con resultados superiores.</w:t>
      </w:r>
    </w:p>
    <w:p w14:paraId="0000003F" w14:textId="77777777" w:rsidR="00CC7271" w:rsidRDefault="00FD3F8A">
      <w:pPr>
        <w:widowControl w:val="0"/>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Tabla 1.</w:t>
      </w:r>
      <w:r>
        <w:rPr>
          <w:rFonts w:ascii="Times New Roman" w:eastAsia="Times New Roman" w:hAnsi="Times New Roman" w:cs="Times New Roman"/>
          <w:sz w:val="24"/>
          <w:szCs w:val="24"/>
        </w:rPr>
        <w:t xml:space="preserve"> Puntuaciones obtenidas diferenciadas por grupo</w:t>
      </w:r>
    </w:p>
    <w:sdt>
      <w:sdtPr>
        <w:tag w:val="goog_rdk_1"/>
        <w:id w:val="1541475458"/>
        <w:lock w:val="contentLocked"/>
      </w:sdtPr>
      <w:sdtEndPr/>
      <w:sdtContent>
        <w:tbl>
          <w:tblPr>
            <w:tblStyle w:val="ab"/>
            <w:tblW w:w="945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362"/>
            <w:gridCol w:w="2362"/>
            <w:gridCol w:w="2363"/>
            <w:gridCol w:w="2363"/>
          </w:tblGrid>
          <w:tr w:rsidR="00CC7271" w14:paraId="51293A38" w14:textId="77777777">
            <w:tc>
              <w:tcPr>
                <w:tcW w:w="2362" w:type="dxa"/>
                <w:shd w:val="clear" w:color="auto" w:fill="auto"/>
                <w:tcMar>
                  <w:top w:w="100" w:type="dxa"/>
                  <w:left w:w="100" w:type="dxa"/>
                  <w:bottom w:w="100" w:type="dxa"/>
                  <w:right w:w="100" w:type="dxa"/>
                </w:tcMar>
              </w:tcPr>
              <w:p w14:paraId="00000040" w14:textId="77777777" w:rsidR="00CC7271" w:rsidRDefault="00CC7271">
                <w:pPr>
                  <w:widowControl w:val="0"/>
                  <w:pBdr>
                    <w:top w:val="nil"/>
                    <w:left w:val="nil"/>
                    <w:bottom w:val="nil"/>
                    <w:right w:val="nil"/>
                    <w:between w:val="nil"/>
                  </w:pBdr>
                  <w:spacing w:line="360" w:lineRule="auto"/>
                  <w:jc w:val="center"/>
                  <w:rPr>
                    <w:rFonts w:ascii="Times New Roman" w:eastAsia="Times New Roman" w:hAnsi="Times New Roman" w:cs="Times New Roman"/>
                    <w:sz w:val="24"/>
                    <w:szCs w:val="24"/>
                  </w:rPr>
                </w:pPr>
              </w:p>
            </w:tc>
            <w:tc>
              <w:tcPr>
                <w:tcW w:w="2362" w:type="dxa"/>
                <w:shd w:val="clear" w:color="auto" w:fill="auto"/>
                <w:tcMar>
                  <w:top w:w="100" w:type="dxa"/>
                  <w:left w:w="100" w:type="dxa"/>
                  <w:bottom w:w="100" w:type="dxa"/>
                  <w:right w:w="100" w:type="dxa"/>
                </w:tcMar>
              </w:tcPr>
              <w:p w14:paraId="00000041" w14:textId="77777777" w:rsidR="00CC7271" w:rsidRDefault="00FD3F8A">
                <w:pPr>
                  <w:widowControl w:val="0"/>
                  <w:pBdr>
                    <w:top w:val="nil"/>
                    <w:left w:val="nil"/>
                    <w:bottom w:val="nil"/>
                    <w:right w:val="nil"/>
                    <w:between w:val="nil"/>
                  </w:pBd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Grupo control</w:t>
                </w:r>
              </w:p>
            </w:tc>
            <w:tc>
              <w:tcPr>
                <w:tcW w:w="2363" w:type="dxa"/>
                <w:shd w:val="clear" w:color="auto" w:fill="auto"/>
                <w:tcMar>
                  <w:top w:w="100" w:type="dxa"/>
                  <w:left w:w="100" w:type="dxa"/>
                  <w:bottom w:w="100" w:type="dxa"/>
                  <w:right w:w="100" w:type="dxa"/>
                </w:tcMar>
              </w:tcPr>
              <w:p w14:paraId="00000042" w14:textId="77777777" w:rsidR="00CC7271" w:rsidRDefault="00FD3F8A">
                <w:pPr>
                  <w:widowControl w:val="0"/>
                  <w:pBdr>
                    <w:top w:val="nil"/>
                    <w:left w:val="nil"/>
                    <w:bottom w:val="nil"/>
                    <w:right w:val="nil"/>
                    <w:between w:val="nil"/>
                  </w:pBd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Grupo experimental</w:t>
                </w:r>
              </w:p>
            </w:tc>
            <w:tc>
              <w:tcPr>
                <w:tcW w:w="2363" w:type="dxa"/>
                <w:shd w:val="clear" w:color="auto" w:fill="auto"/>
                <w:tcMar>
                  <w:top w:w="100" w:type="dxa"/>
                  <w:left w:w="100" w:type="dxa"/>
                  <w:bottom w:w="100" w:type="dxa"/>
                  <w:right w:w="100" w:type="dxa"/>
                </w:tcMar>
              </w:tcPr>
              <w:p w14:paraId="00000043" w14:textId="77777777" w:rsidR="00CC7271" w:rsidRDefault="00FD3F8A">
                <w:pPr>
                  <w:widowControl w:val="0"/>
                  <w:pBdr>
                    <w:top w:val="nil"/>
                    <w:left w:val="nil"/>
                    <w:bottom w:val="nil"/>
                    <w:right w:val="nil"/>
                    <w:between w:val="nil"/>
                  </w:pBd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Sig</w:t>
                </w:r>
              </w:p>
            </w:tc>
          </w:tr>
          <w:tr w:rsidR="00CC7271" w14:paraId="35AB56C7" w14:textId="77777777">
            <w:tc>
              <w:tcPr>
                <w:tcW w:w="2362" w:type="dxa"/>
                <w:shd w:val="clear" w:color="auto" w:fill="auto"/>
                <w:tcMar>
                  <w:top w:w="100" w:type="dxa"/>
                  <w:left w:w="100" w:type="dxa"/>
                  <w:bottom w:w="100" w:type="dxa"/>
                  <w:right w:w="100" w:type="dxa"/>
                </w:tcMar>
              </w:tcPr>
              <w:p w14:paraId="00000044" w14:textId="77777777" w:rsidR="00CC7271" w:rsidRDefault="00FD3F8A">
                <w:pPr>
                  <w:widowControl w:val="0"/>
                  <w:pBdr>
                    <w:top w:val="nil"/>
                    <w:left w:val="nil"/>
                    <w:bottom w:val="nil"/>
                    <w:right w:val="nil"/>
                    <w:between w:val="nil"/>
                  </w:pBd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N</w:t>
                </w:r>
              </w:p>
            </w:tc>
            <w:tc>
              <w:tcPr>
                <w:tcW w:w="2362" w:type="dxa"/>
                <w:shd w:val="clear" w:color="auto" w:fill="auto"/>
                <w:tcMar>
                  <w:top w:w="100" w:type="dxa"/>
                  <w:left w:w="100" w:type="dxa"/>
                  <w:bottom w:w="100" w:type="dxa"/>
                  <w:right w:w="100" w:type="dxa"/>
                </w:tcMar>
              </w:tcPr>
              <w:p w14:paraId="00000045" w14:textId="77777777" w:rsidR="00CC7271" w:rsidRDefault="00FD3F8A">
                <w:pPr>
                  <w:widowControl w:val="0"/>
                  <w:pBdr>
                    <w:top w:val="nil"/>
                    <w:left w:val="nil"/>
                    <w:bottom w:val="nil"/>
                    <w:right w:val="nil"/>
                    <w:between w:val="nil"/>
                  </w:pBd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21</w:t>
                </w:r>
              </w:p>
            </w:tc>
            <w:tc>
              <w:tcPr>
                <w:tcW w:w="2363" w:type="dxa"/>
                <w:shd w:val="clear" w:color="auto" w:fill="auto"/>
                <w:tcMar>
                  <w:top w:w="100" w:type="dxa"/>
                  <w:left w:w="100" w:type="dxa"/>
                  <w:bottom w:w="100" w:type="dxa"/>
                  <w:right w:w="100" w:type="dxa"/>
                </w:tcMar>
              </w:tcPr>
              <w:p w14:paraId="00000046" w14:textId="77777777" w:rsidR="00CC7271" w:rsidRDefault="00FD3F8A">
                <w:pPr>
                  <w:widowControl w:val="0"/>
                  <w:pBdr>
                    <w:top w:val="nil"/>
                    <w:left w:val="nil"/>
                    <w:bottom w:val="nil"/>
                    <w:right w:val="nil"/>
                    <w:between w:val="nil"/>
                  </w:pBd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42</w:t>
                </w:r>
              </w:p>
            </w:tc>
            <w:tc>
              <w:tcPr>
                <w:tcW w:w="2363" w:type="dxa"/>
                <w:shd w:val="clear" w:color="auto" w:fill="auto"/>
                <w:tcMar>
                  <w:top w:w="100" w:type="dxa"/>
                  <w:left w:w="100" w:type="dxa"/>
                  <w:bottom w:w="100" w:type="dxa"/>
                  <w:right w:w="100" w:type="dxa"/>
                </w:tcMar>
              </w:tcPr>
              <w:p w14:paraId="00000047" w14:textId="77777777" w:rsidR="00CC7271" w:rsidRDefault="00CC7271">
                <w:pPr>
                  <w:widowControl w:val="0"/>
                  <w:pBdr>
                    <w:top w:val="nil"/>
                    <w:left w:val="nil"/>
                    <w:bottom w:val="nil"/>
                    <w:right w:val="nil"/>
                    <w:between w:val="nil"/>
                  </w:pBdr>
                  <w:spacing w:line="360" w:lineRule="auto"/>
                  <w:jc w:val="center"/>
                  <w:rPr>
                    <w:rFonts w:ascii="Times New Roman" w:eastAsia="Times New Roman" w:hAnsi="Times New Roman" w:cs="Times New Roman"/>
                    <w:sz w:val="24"/>
                    <w:szCs w:val="24"/>
                  </w:rPr>
                </w:pPr>
              </w:p>
            </w:tc>
          </w:tr>
          <w:tr w:rsidR="00CC7271" w14:paraId="092CE15E" w14:textId="77777777">
            <w:tc>
              <w:tcPr>
                <w:tcW w:w="2362" w:type="dxa"/>
                <w:shd w:val="clear" w:color="auto" w:fill="auto"/>
                <w:tcMar>
                  <w:top w:w="100" w:type="dxa"/>
                  <w:left w:w="100" w:type="dxa"/>
                  <w:bottom w:w="100" w:type="dxa"/>
                  <w:right w:w="100" w:type="dxa"/>
                </w:tcMar>
              </w:tcPr>
              <w:p w14:paraId="00000048" w14:textId="77777777" w:rsidR="00CC7271" w:rsidRDefault="00FD3F8A">
                <w:pPr>
                  <w:widowControl w:val="0"/>
                  <w:pBdr>
                    <w:top w:val="nil"/>
                    <w:left w:val="nil"/>
                    <w:bottom w:val="nil"/>
                    <w:right w:val="nil"/>
                    <w:between w:val="nil"/>
                  </w:pBd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Media</w:t>
                </w:r>
              </w:p>
            </w:tc>
            <w:tc>
              <w:tcPr>
                <w:tcW w:w="2362" w:type="dxa"/>
                <w:shd w:val="clear" w:color="auto" w:fill="auto"/>
                <w:tcMar>
                  <w:top w:w="100" w:type="dxa"/>
                  <w:left w:w="100" w:type="dxa"/>
                  <w:bottom w:w="100" w:type="dxa"/>
                  <w:right w:w="100" w:type="dxa"/>
                </w:tcMar>
              </w:tcPr>
              <w:p w14:paraId="00000049" w14:textId="77777777" w:rsidR="00CC7271" w:rsidRDefault="00FD3F8A">
                <w:pPr>
                  <w:widowControl w:val="0"/>
                  <w:pBdr>
                    <w:top w:val="nil"/>
                    <w:left w:val="nil"/>
                    <w:bottom w:val="nil"/>
                    <w:right w:val="nil"/>
                    <w:between w:val="nil"/>
                  </w:pBd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12.19</w:t>
                </w:r>
              </w:p>
            </w:tc>
            <w:tc>
              <w:tcPr>
                <w:tcW w:w="2363" w:type="dxa"/>
                <w:shd w:val="clear" w:color="auto" w:fill="auto"/>
                <w:tcMar>
                  <w:top w:w="100" w:type="dxa"/>
                  <w:left w:w="100" w:type="dxa"/>
                  <w:bottom w:w="100" w:type="dxa"/>
                  <w:right w:w="100" w:type="dxa"/>
                </w:tcMar>
              </w:tcPr>
              <w:p w14:paraId="0000004A" w14:textId="77777777" w:rsidR="00CC7271" w:rsidRDefault="00FD3F8A">
                <w:pPr>
                  <w:widowControl w:val="0"/>
                  <w:pBdr>
                    <w:top w:val="nil"/>
                    <w:left w:val="nil"/>
                    <w:bottom w:val="nil"/>
                    <w:right w:val="nil"/>
                    <w:between w:val="nil"/>
                  </w:pBd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19.26</w:t>
                </w:r>
              </w:p>
            </w:tc>
            <w:tc>
              <w:tcPr>
                <w:tcW w:w="2363" w:type="dxa"/>
                <w:shd w:val="clear" w:color="auto" w:fill="auto"/>
                <w:tcMar>
                  <w:top w:w="100" w:type="dxa"/>
                  <w:left w:w="100" w:type="dxa"/>
                  <w:bottom w:w="100" w:type="dxa"/>
                  <w:right w:w="100" w:type="dxa"/>
                </w:tcMar>
              </w:tcPr>
              <w:p w14:paraId="0000004B" w14:textId="77777777" w:rsidR="00CC7271" w:rsidRDefault="00FD3F8A">
                <w:pPr>
                  <w:widowControl w:val="0"/>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&lt;.001</w:t>
                </w:r>
              </w:p>
            </w:tc>
          </w:tr>
          <w:tr w:rsidR="00CC7271" w14:paraId="19CE9B28" w14:textId="77777777">
            <w:tc>
              <w:tcPr>
                <w:tcW w:w="2362" w:type="dxa"/>
                <w:shd w:val="clear" w:color="auto" w:fill="auto"/>
                <w:tcMar>
                  <w:top w:w="100" w:type="dxa"/>
                  <w:left w:w="100" w:type="dxa"/>
                  <w:bottom w:w="100" w:type="dxa"/>
                  <w:right w:w="100" w:type="dxa"/>
                </w:tcMar>
              </w:tcPr>
              <w:p w14:paraId="0000004C" w14:textId="77777777" w:rsidR="00CC7271" w:rsidRDefault="00FD3F8A">
                <w:pPr>
                  <w:widowControl w:val="0"/>
                  <w:pBdr>
                    <w:top w:val="nil"/>
                    <w:left w:val="nil"/>
                    <w:bottom w:val="nil"/>
                    <w:right w:val="nil"/>
                    <w:between w:val="nil"/>
                  </w:pBd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Desviación típica</w:t>
                </w:r>
              </w:p>
            </w:tc>
            <w:tc>
              <w:tcPr>
                <w:tcW w:w="2362" w:type="dxa"/>
                <w:shd w:val="clear" w:color="auto" w:fill="auto"/>
                <w:tcMar>
                  <w:top w:w="100" w:type="dxa"/>
                  <w:left w:w="100" w:type="dxa"/>
                  <w:bottom w:w="100" w:type="dxa"/>
                  <w:right w:w="100" w:type="dxa"/>
                </w:tcMar>
              </w:tcPr>
              <w:p w14:paraId="0000004D" w14:textId="77777777" w:rsidR="00CC7271" w:rsidRDefault="00FD3F8A">
                <w:pPr>
                  <w:widowControl w:val="0"/>
                  <w:pBdr>
                    <w:top w:val="nil"/>
                    <w:left w:val="nil"/>
                    <w:bottom w:val="nil"/>
                    <w:right w:val="nil"/>
                    <w:between w:val="nil"/>
                  </w:pBd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1.537</w:t>
                </w:r>
              </w:p>
            </w:tc>
            <w:tc>
              <w:tcPr>
                <w:tcW w:w="2363" w:type="dxa"/>
                <w:shd w:val="clear" w:color="auto" w:fill="auto"/>
                <w:tcMar>
                  <w:top w:w="100" w:type="dxa"/>
                  <w:left w:w="100" w:type="dxa"/>
                  <w:bottom w:w="100" w:type="dxa"/>
                  <w:right w:w="100" w:type="dxa"/>
                </w:tcMar>
              </w:tcPr>
              <w:p w14:paraId="0000004E" w14:textId="77777777" w:rsidR="00CC7271" w:rsidRDefault="00FD3F8A">
                <w:pPr>
                  <w:widowControl w:val="0"/>
                  <w:pBdr>
                    <w:top w:val="nil"/>
                    <w:left w:val="nil"/>
                    <w:bottom w:val="nil"/>
                    <w:right w:val="nil"/>
                    <w:between w:val="nil"/>
                  </w:pBd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3.216</w:t>
                </w:r>
              </w:p>
            </w:tc>
            <w:tc>
              <w:tcPr>
                <w:tcW w:w="2363" w:type="dxa"/>
                <w:shd w:val="clear" w:color="auto" w:fill="auto"/>
                <w:tcMar>
                  <w:top w:w="100" w:type="dxa"/>
                  <w:left w:w="100" w:type="dxa"/>
                  <w:bottom w:w="100" w:type="dxa"/>
                  <w:right w:w="100" w:type="dxa"/>
                </w:tcMar>
              </w:tcPr>
              <w:p w14:paraId="0000004F" w14:textId="77777777" w:rsidR="00CC7271" w:rsidRDefault="00CC7271">
                <w:pPr>
                  <w:widowControl w:val="0"/>
                  <w:pBdr>
                    <w:top w:val="nil"/>
                    <w:left w:val="nil"/>
                    <w:bottom w:val="nil"/>
                    <w:right w:val="nil"/>
                    <w:between w:val="nil"/>
                  </w:pBdr>
                  <w:spacing w:line="360" w:lineRule="auto"/>
                  <w:jc w:val="center"/>
                  <w:rPr>
                    <w:rFonts w:ascii="Times New Roman" w:eastAsia="Times New Roman" w:hAnsi="Times New Roman" w:cs="Times New Roman"/>
                    <w:sz w:val="24"/>
                    <w:szCs w:val="24"/>
                  </w:rPr>
                </w:pPr>
              </w:p>
            </w:tc>
          </w:tr>
          <w:tr w:rsidR="00CC7271" w14:paraId="2623165D" w14:textId="77777777">
            <w:tc>
              <w:tcPr>
                <w:tcW w:w="2362" w:type="dxa"/>
                <w:shd w:val="clear" w:color="auto" w:fill="auto"/>
                <w:tcMar>
                  <w:top w:w="100" w:type="dxa"/>
                  <w:left w:w="100" w:type="dxa"/>
                  <w:bottom w:w="100" w:type="dxa"/>
                  <w:right w:w="100" w:type="dxa"/>
                </w:tcMar>
              </w:tcPr>
              <w:p w14:paraId="00000050" w14:textId="77777777" w:rsidR="00CC7271" w:rsidRDefault="00FD3F8A">
                <w:pPr>
                  <w:widowControl w:val="0"/>
                  <w:pBdr>
                    <w:top w:val="nil"/>
                    <w:left w:val="nil"/>
                    <w:bottom w:val="nil"/>
                    <w:right w:val="nil"/>
                    <w:between w:val="nil"/>
                  </w:pBd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Mínimo</w:t>
                </w:r>
              </w:p>
            </w:tc>
            <w:tc>
              <w:tcPr>
                <w:tcW w:w="2362" w:type="dxa"/>
                <w:shd w:val="clear" w:color="auto" w:fill="auto"/>
                <w:tcMar>
                  <w:top w:w="100" w:type="dxa"/>
                  <w:left w:w="100" w:type="dxa"/>
                  <w:bottom w:w="100" w:type="dxa"/>
                  <w:right w:w="100" w:type="dxa"/>
                </w:tcMar>
              </w:tcPr>
              <w:p w14:paraId="00000051" w14:textId="77777777" w:rsidR="00CC7271" w:rsidRDefault="00FD3F8A">
                <w:pPr>
                  <w:widowControl w:val="0"/>
                  <w:pBdr>
                    <w:top w:val="nil"/>
                    <w:left w:val="nil"/>
                    <w:bottom w:val="nil"/>
                    <w:right w:val="nil"/>
                    <w:between w:val="nil"/>
                  </w:pBd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2363" w:type="dxa"/>
                <w:shd w:val="clear" w:color="auto" w:fill="auto"/>
                <w:tcMar>
                  <w:top w:w="100" w:type="dxa"/>
                  <w:left w:w="100" w:type="dxa"/>
                  <w:bottom w:w="100" w:type="dxa"/>
                  <w:right w:w="100" w:type="dxa"/>
                </w:tcMar>
              </w:tcPr>
              <w:p w14:paraId="00000052" w14:textId="77777777" w:rsidR="00CC7271" w:rsidRDefault="00FD3F8A">
                <w:pPr>
                  <w:widowControl w:val="0"/>
                  <w:pBdr>
                    <w:top w:val="nil"/>
                    <w:left w:val="nil"/>
                    <w:bottom w:val="nil"/>
                    <w:right w:val="nil"/>
                    <w:between w:val="nil"/>
                  </w:pBd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p>
            </w:tc>
            <w:tc>
              <w:tcPr>
                <w:tcW w:w="2363" w:type="dxa"/>
                <w:shd w:val="clear" w:color="auto" w:fill="auto"/>
                <w:tcMar>
                  <w:top w:w="100" w:type="dxa"/>
                  <w:left w:w="100" w:type="dxa"/>
                  <w:bottom w:w="100" w:type="dxa"/>
                  <w:right w:w="100" w:type="dxa"/>
                </w:tcMar>
              </w:tcPr>
              <w:p w14:paraId="00000053" w14:textId="77777777" w:rsidR="00CC7271" w:rsidRDefault="00CC7271">
                <w:pPr>
                  <w:widowControl w:val="0"/>
                  <w:pBdr>
                    <w:top w:val="nil"/>
                    <w:left w:val="nil"/>
                    <w:bottom w:val="nil"/>
                    <w:right w:val="nil"/>
                    <w:between w:val="nil"/>
                  </w:pBdr>
                  <w:spacing w:line="360" w:lineRule="auto"/>
                  <w:jc w:val="center"/>
                  <w:rPr>
                    <w:rFonts w:ascii="Times New Roman" w:eastAsia="Times New Roman" w:hAnsi="Times New Roman" w:cs="Times New Roman"/>
                    <w:sz w:val="24"/>
                    <w:szCs w:val="24"/>
                  </w:rPr>
                </w:pPr>
              </w:p>
            </w:tc>
          </w:tr>
          <w:tr w:rsidR="00CC7271" w14:paraId="2B1DB68B" w14:textId="77777777">
            <w:tc>
              <w:tcPr>
                <w:tcW w:w="2362" w:type="dxa"/>
                <w:shd w:val="clear" w:color="auto" w:fill="auto"/>
                <w:tcMar>
                  <w:top w:w="100" w:type="dxa"/>
                  <w:left w:w="100" w:type="dxa"/>
                  <w:bottom w:w="100" w:type="dxa"/>
                  <w:right w:w="100" w:type="dxa"/>
                </w:tcMar>
              </w:tcPr>
              <w:p w14:paraId="00000054" w14:textId="77777777" w:rsidR="00CC7271" w:rsidRDefault="00FD3F8A">
                <w:pPr>
                  <w:widowControl w:val="0"/>
                  <w:pBdr>
                    <w:top w:val="nil"/>
                    <w:left w:val="nil"/>
                    <w:bottom w:val="nil"/>
                    <w:right w:val="nil"/>
                    <w:between w:val="nil"/>
                  </w:pBd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Máximo</w:t>
                </w:r>
              </w:p>
            </w:tc>
            <w:tc>
              <w:tcPr>
                <w:tcW w:w="2362" w:type="dxa"/>
                <w:shd w:val="clear" w:color="auto" w:fill="auto"/>
                <w:tcMar>
                  <w:top w:w="100" w:type="dxa"/>
                  <w:left w:w="100" w:type="dxa"/>
                  <w:bottom w:w="100" w:type="dxa"/>
                  <w:right w:w="100" w:type="dxa"/>
                </w:tcMar>
              </w:tcPr>
              <w:p w14:paraId="00000055" w14:textId="77777777" w:rsidR="00CC7271" w:rsidRDefault="00FD3F8A">
                <w:pPr>
                  <w:widowControl w:val="0"/>
                  <w:pBdr>
                    <w:top w:val="nil"/>
                    <w:left w:val="nil"/>
                    <w:bottom w:val="nil"/>
                    <w:right w:val="nil"/>
                    <w:between w:val="nil"/>
                  </w:pBd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16</w:t>
                </w:r>
              </w:p>
            </w:tc>
            <w:tc>
              <w:tcPr>
                <w:tcW w:w="2363" w:type="dxa"/>
                <w:shd w:val="clear" w:color="auto" w:fill="auto"/>
                <w:tcMar>
                  <w:top w:w="100" w:type="dxa"/>
                  <w:left w:w="100" w:type="dxa"/>
                  <w:bottom w:w="100" w:type="dxa"/>
                  <w:right w:w="100" w:type="dxa"/>
                </w:tcMar>
              </w:tcPr>
              <w:p w14:paraId="00000056" w14:textId="77777777" w:rsidR="00CC7271" w:rsidRDefault="00FD3F8A">
                <w:pPr>
                  <w:widowControl w:val="0"/>
                  <w:pBdr>
                    <w:top w:val="nil"/>
                    <w:left w:val="nil"/>
                    <w:bottom w:val="nil"/>
                    <w:right w:val="nil"/>
                    <w:between w:val="nil"/>
                  </w:pBd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23</w:t>
                </w:r>
              </w:p>
            </w:tc>
            <w:tc>
              <w:tcPr>
                <w:tcW w:w="2363" w:type="dxa"/>
                <w:shd w:val="clear" w:color="auto" w:fill="auto"/>
                <w:tcMar>
                  <w:top w:w="100" w:type="dxa"/>
                  <w:left w:w="100" w:type="dxa"/>
                  <w:bottom w:w="100" w:type="dxa"/>
                  <w:right w:w="100" w:type="dxa"/>
                </w:tcMar>
              </w:tcPr>
              <w:p w14:paraId="00000057" w14:textId="77777777" w:rsidR="00CC7271" w:rsidRDefault="00D0346A">
                <w:pPr>
                  <w:widowControl w:val="0"/>
                  <w:pBdr>
                    <w:top w:val="nil"/>
                    <w:left w:val="nil"/>
                    <w:bottom w:val="nil"/>
                    <w:right w:val="nil"/>
                    <w:between w:val="nil"/>
                  </w:pBdr>
                  <w:spacing w:line="360" w:lineRule="auto"/>
                  <w:jc w:val="center"/>
                  <w:rPr>
                    <w:rFonts w:ascii="Times New Roman" w:eastAsia="Times New Roman" w:hAnsi="Times New Roman" w:cs="Times New Roman"/>
                    <w:sz w:val="24"/>
                    <w:szCs w:val="24"/>
                  </w:rPr>
                </w:pPr>
              </w:p>
            </w:tc>
          </w:tr>
        </w:tbl>
      </w:sdtContent>
    </w:sdt>
    <w:p w14:paraId="00000058" w14:textId="77777777" w:rsidR="00CC7271" w:rsidRDefault="00FD3F8A">
      <w:pPr>
        <w:widowControl w:val="0"/>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Fuente: Elaboración propia en SPSS a través de la matriz de investigación</w:t>
      </w:r>
    </w:p>
    <w:p w14:paraId="00000059" w14:textId="77777777" w:rsidR="00CC7271" w:rsidRDefault="00FD3F8A">
      <w:pPr>
        <w:widowControl w:val="0"/>
        <w:spacing w:line="36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Diferencias por sexo</w:t>
      </w:r>
    </w:p>
    <w:p w14:paraId="0000005B" w14:textId="1DBC64D3" w:rsidR="00CC7271" w:rsidRPr="005054C5" w:rsidRDefault="00FD3F8A" w:rsidP="005054C5">
      <w:pPr>
        <w:widowControl w:val="0"/>
        <w:spacing w:line="360" w:lineRule="auto"/>
        <w:jc w:val="both"/>
        <w:rPr>
          <w:rFonts w:ascii="Times New Roman" w:eastAsia="Times New Roman" w:hAnsi="Times New Roman" w:cs="Times New Roman"/>
          <w:sz w:val="24"/>
          <w:szCs w:val="24"/>
        </w:rPr>
      </w:pPr>
      <w:r w:rsidRPr="0019723F">
        <w:rPr>
          <w:rFonts w:ascii="Times New Roman" w:eastAsia="Times New Roman" w:hAnsi="Times New Roman" w:cs="Times New Roman"/>
          <w:sz w:val="24"/>
          <w:szCs w:val="24"/>
        </w:rPr>
        <w:t xml:space="preserve">La media de los niños es ligeramente superior a la de las niñas, no obstante, no se encuentran diferencias significativas por sexo (p&gt;.05), lo que indica que esta estrategia </w:t>
      </w:r>
      <w:r>
        <w:rPr>
          <w:rFonts w:ascii="Times New Roman" w:eastAsia="Times New Roman" w:hAnsi="Times New Roman" w:cs="Times New Roman"/>
          <w:sz w:val="24"/>
          <w:szCs w:val="24"/>
        </w:rPr>
        <w:t xml:space="preserve">es efectiva independientemente del sexo. En la tabla 2 quedan reflejados estos datos. </w:t>
      </w:r>
    </w:p>
    <w:p w14:paraId="0000005C" w14:textId="77777777" w:rsidR="00CC7271" w:rsidRDefault="00FD3F8A">
      <w:pPr>
        <w:widowControl w:val="0"/>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Tabla 2.</w:t>
      </w:r>
      <w:r>
        <w:rPr>
          <w:rFonts w:ascii="Times New Roman" w:eastAsia="Times New Roman" w:hAnsi="Times New Roman" w:cs="Times New Roman"/>
          <w:sz w:val="24"/>
          <w:szCs w:val="24"/>
        </w:rPr>
        <w:t xml:space="preserve"> Puntuaciones obtenidas diferenciadas por sexo</w:t>
      </w:r>
    </w:p>
    <w:sdt>
      <w:sdtPr>
        <w:tag w:val="goog_rdk_2"/>
        <w:id w:val="1410039860"/>
        <w:lock w:val="contentLocked"/>
      </w:sdtPr>
      <w:sdtEndPr/>
      <w:sdtContent>
        <w:tbl>
          <w:tblPr>
            <w:tblStyle w:val="ac"/>
            <w:tblW w:w="945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362"/>
            <w:gridCol w:w="2362"/>
            <w:gridCol w:w="2363"/>
            <w:gridCol w:w="2363"/>
          </w:tblGrid>
          <w:tr w:rsidR="00CC7271" w14:paraId="0A9FB37F" w14:textId="77777777">
            <w:tc>
              <w:tcPr>
                <w:tcW w:w="2362" w:type="dxa"/>
                <w:shd w:val="clear" w:color="auto" w:fill="auto"/>
                <w:tcMar>
                  <w:top w:w="100" w:type="dxa"/>
                  <w:left w:w="100" w:type="dxa"/>
                  <w:bottom w:w="100" w:type="dxa"/>
                  <w:right w:w="100" w:type="dxa"/>
                </w:tcMar>
              </w:tcPr>
              <w:p w14:paraId="0000005D" w14:textId="77777777" w:rsidR="00CC7271" w:rsidRDefault="00CC7271">
                <w:pPr>
                  <w:widowControl w:val="0"/>
                  <w:spacing w:line="360" w:lineRule="auto"/>
                  <w:jc w:val="center"/>
                  <w:rPr>
                    <w:rFonts w:ascii="Times New Roman" w:eastAsia="Times New Roman" w:hAnsi="Times New Roman" w:cs="Times New Roman"/>
                    <w:sz w:val="24"/>
                    <w:szCs w:val="24"/>
                  </w:rPr>
                </w:pPr>
              </w:p>
            </w:tc>
            <w:tc>
              <w:tcPr>
                <w:tcW w:w="2362" w:type="dxa"/>
                <w:shd w:val="clear" w:color="auto" w:fill="auto"/>
                <w:tcMar>
                  <w:top w:w="100" w:type="dxa"/>
                  <w:left w:w="100" w:type="dxa"/>
                  <w:bottom w:w="100" w:type="dxa"/>
                  <w:right w:w="100" w:type="dxa"/>
                </w:tcMar>
              </w:tcPr>
              <w:p w14:paraId="0000005E" w14:textId="77777777" w:rsidR="00CC7271" w:rsidRDefault="00FD3F8A">
                <w:pPr>
                  <w:widowControl w:val="0"/>
                  <w:spacing w:line="36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Niño</w:t>
                </w:r>
              </w:p>
            </w:tc>
            <w:tc>
              <w:tcPr>
                <w:tcW w:w="2363" w:type="dxa"/>
                <w:shd w:val="clear" w:color="auto" w:fill="auto"/>
                <w:tcMar>
                  <w:top w:w="100" w:type="dxa"/>
                  <w:left w:w="100" w:type="dxa"/>
                  <w:bottom w:w="100" w:type="dxa"/>
                  <w:right w:w="100" w:type="dxa"/>
                </w:tcMar>
              </w:tcPr>
              <w:p w14:paraId="0000005F" w14:textId="77777777" w:rsidR="00CC7271" w:rsidRDefault="00FD3F8A">
                <w:pPr>
                  <w:widowControl w:val="0"/>
                  <w:spacing w:line="36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Niña</w:t>
                </w:r>
              </w:p>
            </w:tc>
            <w:tc>
              <w:tcPr>
                <w:tcW w:w="2363" w:type="dxa"/>
                <w:shd w:val="clear" w:color="auto" w:fill="auto"/>
                <w:tcMar>
                  <w:top w:w="100" w:type="dxa"/>
                  <w:left w:w="100" w:type="dxa"/>
                  <w:bottom w:w="100" w:type="dxa"/>
                  <w:right w:w="100" w:type="dxa"/>
                </w:tcMar>
              </w:tcPr>
              <w:p w14:paraId="00000060" w14:textId="77777777" w:rsidR="00CC7271" w:rsidRDefault="00FD3F8A">
                <w:pPr>
                  <w:widowControl w:val="0"/>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Sig</w:t>
                </w:r>
              </w:p>
            </w:tc>
          </w:tr>
          <w:tr w:rsidR="00CC7271" w14:paraId="2BB5D832" w14:textId="77777777">
            <w:tc>
              <w:tcPr>
                <w:tcW w:w="2362" w:type="dxa"/>
                <w:shd w:val="clear" w:color="auto" w:fill="auto"/>
                <w:tcMar>
                  <w:top w:w="100" w:type="dxa"/>
                  <w:left w:w="100" w:type="dxa"/>
                  <w:bottom w:w="100" w:type="dxa"/>
                  <w:right w:w="100" w:type="dxa"/>
                </w:tcMar>
              </w:tcPr>
              <w:p w14:paraId="00000061" w14:textId="77777777" w:rsidR="00CC7271" w:rsidRDefault="00FD3F8A">
                <w:pPr>
                  <w:widowControl w:val="0"/>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N</w:t>
                </w:r>
              </w:p>
            </w:tc>
            <w:tc>
              <w:tcPr>
                <w:tcW w:w="2362" w:type="dxa"/>
                <w:shd w:val="clear" w:color="auto" w:fill="auto"/>
                <w:tcMar>
                  <w:top w:w="100" w:type="dxa"/>
                  <w:left w:w="100" w:type="dxa"/>
                  <w:bottom w:w="100" w:type="dxa"/>
                  <w:right w:w="100" w:type="dxa"/>
                </w:tcMar>
              </w:tcPr>
              <w:p w14:paraId="00000062" w14:textId="77777777" w:rsidR="00CC7271" w:rsidRDefault="00FD3F8A">
                <w:pPr>
                  <w:widowControl w:val="0"/>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33</w:t>
                </w:r>
              </w:p>
            </w:tc>
            <w:tc>
              <w:tcPr>
                <w:tcW w:w="2363" w:type="dxa"/>
                <w:shd w:val="clear" w:color="auto" w:fill="auto"/>
                <w:tcMar>
                  <w:top w:w="100" w:type="dxa"/>
                  <w:left w:w="100" w:type="dxa"/>
                  <w:bottom w:w="100" w:type="dxa"/>
                  <w:right w:w="100" w:type="dxa"/>
                </w:tcMar>
              </w:tcPr>
              <w:p w14:paraId="00000063" w14:textId="77777777" w:rsidR="00CC7271" w:rsidRDefault="00FD3F8A">
                <w:pPr>
                  <w:widowControl w:val="0"/>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30</w:t>
                </w:r>
              </w:p>
            </w:tc>
            <w:tc>
              <w:tcPr>
                <w:tcW w:w="2363" w:type="dxa"/>
                <w:shd w:val="clear" w:color="auto" w:fill="auto"/>
                <w:tcMar>
                  <w:top w:w="100" w:type="dxa"/>
                  <w:left w:w="100" w:type="dxa"/>
                  <w:bottom w:w="100" w:type="dxa"/>
                  <w:right w:w="100" w:type="dxa"/>
                </w:tcMar>
              </w:tcPr>
              <w:p w14:paraId="00000064" w14:textId="77777777" w:rsidR="00CC7271" w:rsidRDefault="00CC7271">
                <w:pPr>
                  <w:widowControl w:val="0"/>
                  <w:spacing w:line="360" w:lineRule="auto"/>
                  <w:jc w:val="center"/>
                  <w:rPr>
                    <w:rFonts w:ascii="Times New Roman" w:eastAsia="Times New Roman" w:hAnsi="Times New Roman" w:cs="Times New Roman"/>
                    <w:sz w:val="24"/>
                    <w:szCs w:val="24"/>
                  </w:rPr>
                </w:pPr>
              </w:p>
            </w:tc>
          </w:tr>
          <w:tr w:rsidR="00CC7271" w14:paraId="7A33AD75" w14:textId="77777777">
            <w:tc>
              <w:tcPr>
                <w:tcW w:w="2362" w:type="dxa"/>
                <w:shd w:val="clear" w:color="auto" w:fill="auto"/>
                <w:tcMar>
                  <w:top w:w="100" w:type="dxa"/>
                  <w:left w:w="100" w:type="dxa"/>
                  <w:bottom w:w="100" w:type="dxa"/>
                  <w:right w:w="100" w:type="dxa"/>
                </w:tcMar>
              </w:tcPr>
              <w:p w14:paraId="00000065" w14:textId="77777777" w:rsidR="00CC7271" w:rsidRDefault="00FD3F8A">
                <w:pPr>
                  <w:widowControl w:val="0"/>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Media</w:t>
                </w:r>
              </w:p>
            </w:tc>
            <w:tc>
              <w:tcPr>
                <w:tcW w:w="2362" w:type="dxa"/>
                <w:shd w:val="clear" w:color="auto" w:fill="auto"/>
                <w:tcMar>
                  <w:top w:w="100" w:type="dxa"/>
                  <w:left w:w="100" w:type="dxa"/>
                  <w:bottom w:w="100" w:type="dxa"/>
                  <w:right w:w="100" w:type="dxa"/>
                </w:tcMar>
              </w:tcPr>
              <w:p w14:paraId="00000066" w14:textId="77777777" w:rsidR="00CC7271" w:rsidRDefault="00FD3F8A">
                <w:pPr>
                  <w:widowControl w:val="0"/>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17.00</w:t>
                </w:r>
              </w:p>
            </w:tc>
            <w:tc>
              <w:tcPr>
                <w:tcW w:w="2363" w:type="dxa"/>
                <w:shd w:val="clear" w:color="auto" w:fill="auto"/>
                <w:tcMar>
                  <w:top w:w="100" w:type="dxa"/>
                  <w:left w:w="100" w:type="dxa"/>
                  <w:bottom w:w="100" w:type="dxa"/>
                  <w:right w:w="100" w:type="dxa"/>
                </w:tcMar>
              </w:tcPr>
              <w:p w14:paraId="00000067" w14:textId="77777777" w:rsidR="00CC7271" w:rsidRDefault="00FD3F8A">
                <w:pPr>
                  <w:widowControl w:val="0"/>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16.80</w:t>
                </w:r>
              </w:p>
            </w:tc>
            <w:tc>
              <w:tcPr>
                <w:tcW w:w="2363" w:type="dxa"/>
                <w:shd w:val="clear" w:color="auto" w:fill="auto"/>
                <w:tcMar>
                  <w:top w:w="100" w:type="dxa"/>
                  <w:left w:w="100" w:type="dxa"/>
                  <w:bottom w:w="100" w:type="dxa"/>
                  <w:right w:w="100" w:type="dxa"/>
                </w:tcMar>
              </w:tcPr>
              <w:p w14:paraId="00000068" w14:textId="77777777" w:rsidR="00CC7271" w:rsidRDefault="00FD3F8A">
                <w:pPr>
                  <w:widowControl w:val="0"/>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.147</w:t>
                </w:r>
              </w:p>
            </w:tc>
          </w:tr>
          <w:tr w:rsidR="00CC7271" w14:paraId="2B9263A8" w14:textId="77777777">
            <w:tc>
              <w:tcPr>
                <w:tcW w:w="2362" w:type="dxa"/>
                <w:shd w:val="clear" w:color="auto" w:fill="auto"/>
                <w:tcMar>
                  <w:top w:w="100" w:type="dxa"/>
                  <w:left w:w="100" w:type="dxa"/>
                  <w:bottom w:w="100" w:type="dxa"/>
                  <w:right w:w="100" w:type="dxa"/>
                </w:tcMar>
              </w:tcPr>
              <w:p w14:paraId="00000069" w14:textId="77777777" w:rsidR="00CC7271" w:rsidRDefault="00FD3F8A">
                <w:pPr>
                  <w:widowControl w:val="0"/>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Desviación típica</w:t>
                </w:r>
              </w:p>
            </w:tc>
            <w:tc>
              <w:tcPr>
                <w:tcW w:w="2362" w:type="dxa"/>
                <w:shd w:val="clear" w:color="auto" w:fill="auto"/>
                <w:tcMar>
                  <w:top w:w="100" w:type="dxa"/>
                  <w:left w:w="100" w:type="dxa"/>
                  <w:bottom w:w="100" w:type="dxa"/>
                  <w:right w:w="100" w:type="dxa"/>
                </w:tcMar>
              </w:tcPr>
              <w:p w14:paraId="0000006A" w14:textId="77777777" w:rsidR="00CC7271" w:rsidRDefault="00FD3F8A">
                <w:pPr>
                  <w:widowControl w:val="0"/>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4.670</w:t>
                </w:r>
              </w:p>
            </w:tc>
            <w:tc>
              <w:tcPr>
                <w:tcW w:w="2363" w:type="dxa"/>
                <w:shd w:val="clear" w:color="auto" w:fill="auto"/>
                <w:tcMar>
                  <w:top w:w="100" w:type="dxa"/>
                  <w:left w:w="100" w:type="dxa"/>
                  <w:bottom w:w="100" w:type="dxa"/>
                  <w:right w:w="100" w:type="dxa"/>
                </w:tcMar>
              </w:tcPr>
              <w:p w14:paraId="0000006B" w14:textId="77777777" w:rsidR="00CC7271" w:rsidRDefault="00FD3F8A">
                <w:pPr>
                  <w:widowControl w:val="0"/>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4.038</w:t>
                </w:r>
              </w:p>
            </w:tc>
            <w:tc>
              <w:tcPr>
                <w:tcW w:w="2363" w:type="dxa"/>
                <w:shd w:val="clear" w:color="auto" w:fill="auto"/>
                <w:tcMar>
                  <w:top w:w="100" w:type="dxa"/>
                  <w:left w:w="100" w:type="dxa"/>
                  <w:bottom w:w="100" w:type="dxa"/>
                  <w:right w:w="100" w:type="dxa"/>
                </w:tcMar>
              </w:tcPr>
              <w:p w14:paraId="0000006C" w14:textId="77777777" w:rsidR="00CC7271" w:rsidRDefault="00D0346A">
                <w:pPr>
                  <w:widowControl w:val="0"/>
                  <w:spacing w:line="360" w:lineRule="auto"/>
                  <w:jc w:val="center"/>
                  <w:rPr>
                    <w:rFonts w:ascii="Times New Roman" w:eastAsia="Times New Roman" w:hAnsi="Times New Roman" w:cs="Times New Roman"/>
                    <w:sz w:val="24"/>
                    <w:szCs w:val="24"/>
                  </w:rPr>
                </w:pPr>
              </w:p>
            </w:tc>
          </w:tr>
        </w:tbl>
      </w:sdtContent>
    </w:sdt>
    <w:p w14:paraId="0000006D" w14:textId="77777777" w:rsidR="00CC7271" w:rsidRDefault="00FD3F8A">
      <w:pPr>
        <w:widowControl w:val="0"/>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Fuente: Elaboración propia en SPSS a través de la matriz de investigación</w:t>
      </w:r>
    </w:p>
    <w:p w14:paraId="0000006E" w14:textId="77777777" w:rsidR="00CC7271" w:rsidRDefault="00FD3F8A">
      <w:pPr>
        <w:widowControl w:val="0"/>
        <w:spacing w:line="36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Agrupación de ítems</w:t>
      </w:r>
    </w:p>
    <w:p w14:paraId="0000006F" w14:textId="77777777" w:rsidR="00CC7271" w:rsidRDefault="00FD3F8A">
      <w:pPr>
        <w:widowControl w:val="0"/>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 totalidad de los 23 ítems evaluados para cada alumno se pueden agrupar en diferentes categorías, basadas en los principios básicos del aprendizaje cooperativo (Johnson, 2009): interdependencia positiva, interacción enriquecedora, compromiso individual y habilidades interpersonales. </w:t>
      </w:r>
    </w:p>
    <w:p w14:paraId="00000070" w14:textId="77777777" w:rsidR="00CC7271" w:rsidRDefault="00FD3F8A">
      <w:pPr>
        <w:widowControl w:val="0"/>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Los resultados obtenidos al comparar ambos grupos se pueden observar en la Tabla 3.</w:t>
      </w:r>
    </w:p>
    <w:p w14:paraId="00000071" w14:textId="77777777" w:rsidR="00CC7271" w:rsidRDefault="00FD3F8A">
      <w:pPr>
        <w:widowControl w:val="0"/>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Tabla 3.</w:t>
      </w:r>
      <w:r>
        <w:rPr>
          <w:rFonts w:ascii="Times New Roman" w:eastAsia="Times New Roman" w:hAnsi="Times New Roman" w:cs="Times New Roman"/>
          <w:sz w:val="24"/>
          <w:szCs w:val="24"/>
        </w:rPr>
        <w:t xml:space="preserve"> Puntuaciones obtenidas en cada categoría diferenciadas por grupo</w:t>
      </w:r>
    </w:p>
    <w:tbl>
      <w:tblPr>
        <w:tblStyle w:val="ad"/>
        <w:tblW w:w="9440" w:type="dxa"/>
        <w:jc w:val="center"/>
        <w:tblInd w:w="0" w:type="dxa"/>
        <w:tblBorders>
          <w:top w:val="nil"/>
          <w:left w:val="nil"/>
          <w:bottom w:val="nil"/>
          <w:right w:val="nil"/>
          <w:insideH w:val="nil"/>
          <w:insideV w:val="nil"/>
        </w:tblBorders>
        <w:tblLayout w:type="fixed"/>
        <w:tblLook w:val="0400" w:firstRow="0" w:lastRow="0" w:firstColumn="0" w:lastColumn="0" w:noHBand="0" w:noVBand="1"/>
      </w:tblPr>
      <w:tblGrid>
        <w:gridCol w:w="1888"/>
        <w:gridCol w:w="1888"/>
        <w:gridCol w:w="1888"/>
        <w:gridCol w:w="1888"/>
        <w:gridCol w:w="1888"/>
      </w:tblGrid>
      <w:tr w:rsidR="00CC7271" w14:paraId="54941B4C" w14:textId="77777777">
        <w:trPr>
          <w:jc w:val="center"/>
        </w:trPr>
        <w:tc>
          <w:tcPr>
            <w:tcW w:w="1888" w:type="dxa"/>
            <w:tcBorders>
              <w:top w:val="single" w:sz="4" w:space="0" w:color="000000"/>
              <w:bottom w:val="single" w:sz="4" w:space="0" w:color="000000"/>
            </w:tcBorders>
            <w:vAlign w:val="center"/>
          </w:tcPr>
          <w:p w14:paraId="00000072" w14:textId="77777777" w:rsidR="00CC7271" w:rsidRDefault="00FD3F8A">
            <w:pPr>
              <w:widowControl w:val="0"/>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Categoría</w:t>
            </w:r>
          </w:p>
        </w:tc>
        <w:tc>
          <w:tcPr>
            <w:tcW w:w="1888" w:type="dxa"/>
            <w:tcBorders>
              <w:top w:val="single" w:sz="4" w:space="0" w:color="000000"/>
              <w:bottom w:val="single" w:sz="4" w:space="0" w:color="000000"/>
            </w:tcBorders>
            <w:vAlign w:val="center"/>
          </w:tcPr>
          <w:p w14:paraId="00000073" w14:textId="77777777" w:rsidR="00CC7271" w:rsidRDefault="00FD3F8A">
            <w:pPr>
              <w:widowControl w:val="0"/>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Grupo</w:t>
            </w:r>
          </w:p>
        </w:tc>
        <w:tc>
          <w:tcPr>
            <w:tcW w:w="1888" w:type="dxa"/>
            <w:tcBorders>
              <w:top w:val="single" w:sz="4" w:space="0" w:color="000000"/>
              <w:bottom w:val="single" w:sz="4" w:space="0" w:color="000000"/>
            </w:tcBorders>
            <w:vAlign w:val="center"/>
          </w:tcPr>
          <w:p w14:paraId="00000074" w14:textId="77777777" w:rsidR="00CC7271" w:rsidRDefault="00FD3F8A">
            <w:pPr>
              <w:widowControl w:val="0"/>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Media</w:t>
            </w:r>
          </w:p>
        </w:tc>
        <w:tc>
          <w:tcPr>
            <w:tcW w:w="1888" w:type="dxa"/>
            <w:tcBorders>
              <w:top w:val="single" w:sz="4" w:space="0" w:color="000000"/>
              <w:bottom w:val="single" w:sz="4" w:space="0" w:color="000000"/>
            </w:tcBorders>
            <w:vAlign w:val="center"/>
          </w:tcPr>
          <w:p w14:paraId="00000075" w14:textId="77777777" w:rsidR="00CC7271" w:rsidRDefault="00FD3F8A">
            <w:pPr>
              <w:widowControl w:val="0"/>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Sig.</w:t>
            </w:r>
          </w:p>
        </w:tc>
        <w:tc>
          <w:tcPr>
            <w:tcW w:w="1888" w:type="dxa"/>
            <w:tcBorders>
              <w:top w:val="single" w:sz="4" w:space="0" w:color="000000"/>
              <w:bottom w:val="single" w:sz="4" w:space="0" w:color="000000"/>
            </w:tcBorders>
            <w:vAlign w:val="center"/>
          </w:tcPr>
          <w:p w14:paraId="00000076" w14:textId="77777777" w:rsidR="00CC7271" w:rsidRDefault="00FD3F8A">
            <w:pPr>
              <w:widowControl w:val="0"/>
              <w:spacing w:line="360" w:lineRule="auto"/>
              <w:jc w:val="center"/>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Mín-máx</w:t>
            </w:r>
            <w:proofErr w:type="spellEnd"/>
            <w:r>
              <w:rPr>
                <w:rFonts w:ascii="Times New Roman" w:eastAsia="Times New Roman" w:hAnsi="Times New Roman" w:cs="Times New Roman"/>
                <w:sz w:val="24"/>
                <w:szCs w:val="24"/>
              </w:rPr>
              <w:t xml:space="preserve"> posible</w:t>
            </w:r>
          </w:p>
        </w:tc>
      </w:tr>
      <w:tr w:rsidR="00CC7271" w14:paraId="50E81643" w14:textId="77777777">
        <w:trPr>
          <w:jc w:val="center"/>
        </w:trPr>
        <w:tc>
          <w:tcPr>
            <w:tcW w:w="1888" w:type="dxa"/>
            <w:vMerge w:val="restart"/>
            <w:tcBorders>
              <w:top w:val="single" w:sz="4" w:space="0" w:color="000000"/>
              <w:bottom w:val="single" w:sz="4" w:space="0" w:color="000000"/>
            </w:tcBorders>
            <w:vAlign w:val="center"/>
          </w:tcPr>
          <w:p w14:paraId="00000077" w14:textId="77777777" w:rsidR="00CC7271" w:rsidRDefault="00FD3F8A">
            <w:pPr>
              <w:widowControl w:val="0"/>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Interdependencia positiva</w:t>
            </w:r>
          </w:p>
        </w:tc>
        <w:tc>
          <w:tcPr>
            <w:tcW w:w="1888" w:type="dxa"/>
            <w:tcBorders>
              <w:top w:val="single" w:sz="4" w:space="0" w:color="000000"/>
            </w:tcBorders>
            <w:vAlign w:val="center"/>
          </w:tcPr>
          <w:p w14:paraId="00000078" w14:textId="77777777" w:rsidR="00CC7271" w:rsidRDefault="00FD3F8A">
            <w:pPr>
              <w:widowControl w:val="0"/>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Experimental</w:t>
            </w:r>
          </w:p>
        </w:tc>
        <w:tc>
          <w:tcPr>
            <w:tcW w:w="1888" w:type="dxa"/>
            <w:tcBorders>
              <w:top w:val="single" w:sz="4" w:space="0" w:color="000000"/>
            </w:tcBorders>
            <w:vAlign w:val="center"/>
          </w:tcPr>
          <w:p w14:paraId="00000079" w14:textId="77777777" w:rsidR="00CC7271" w:rsidRDefault="00FD3F8A">
            <w:pPr>
              <w:widowControl w:val="0"/>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3.40 (SD=.665)</w:t>
            </w:r>
          </w:p>
        </w:tc>
        <w:tc>
          <w:tcPr>
            <w:tcW w:w="1888" w:type="dxa"/>
            <w:vMerge w:val="restart"/>
            <w:tcBorders>
              <w:top w:val="single" w:sz="4" w:space="0" w:color="000000"/>
            </w:tcBorders>
            <w:vAlign w:val="center"/>
          </w:tcPr>
          <w:p w14:paraId="0000007A" w14:textId="77777777" w:rsidR="00CC7271" w:rsidRDefault="00FD3F8A">
            <w:pPr>
              <w:widowControl w:val="0"/>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.402</w:t>
            </w:r>
          </w:p>
        </w:tc>
        <w:tc>
          <w:tcPr>
            <w:tcW w:w="1888" w:type="dxa"/>
            <w:vMerge w:val="restart"/>
            <w:tcBorders>
              <w:top w:val="single" w:sz="4" w:space="0" w:color="000000"/>
            </w:tcBorders>
            <w:vAlign w:val="center"/>
          </w:tcPr>
          <w:p w14:paraId="0000007B" w14:textId="77777777" w:rsidR="00CC7271" w:rsidRDefault="00FD3F8A">
            <w:pPr>
              <w:widowControl w:val="0"/>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0-4</w:t>
            </w:r>
          </w:p>
        </w:tc>
      </w:tr>
      <w:tr w:rsidR="00CC7271" w14:paraId="72AAF881" w14:textId="77777777">
        <w:trPr>
          <w:jc w:val="center"/>
        </w:trPr>
        <w:tc>
          <w:tcPr>
            <w:tcW w:w="1888" w:type="dxa"/>
            <w:vMerge/>
            <w:tcBorders>
              <w:top w:val="single" w:sz="4" w:space="0" w:color="000000"/>
              <w:bottom w:val="single" w:sz="4" w:space="0" w:color="000000"/>
            </w:tcBorders>
            <w:vAlign w:val="center"/>
          </w:tcPr>
          <w:p w14:paraId="0000007C" w14:textId="77777777" w:rsidR="00CC7271" w:rsidRDefault="00CC7271">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1888" w:type="dxa"/>
            <w:tcBorders>
              <w:bottom w:val="single" w:sz="4" w:space="0" w:color="000000"/>
            </w:tcBorders>
            <w:vAlign w:val="center"/>
          </w:tcPr>
          <w:p w14:paraId="0000007D" w14:textId="77777777" w:rsidR="00CC7271" w:rsidRDefault="00FD3F8A">
            <w:pPr>
              <w:widowControl w:val="0"/>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Control</w:t>
            </w:r>
          </w:p>
        </w:tc>
        <w:tc>
          <w:tcPr>
            <w:tcW w:w="1888" w:type="dxa"/>
            <w:tcBorders>
              <w:bottom w:val="single" w:sz="4" w:space="0" w:color="000000"/>
            </w:tcBorders>
            <w:vAlign w:val="center"/>
          </w:tcPr>
          <w:p w14:paraId="0000007E" w14:textId="77777777" w:rsidR="00CC7271" w:rsidRDefault="00FD3F8A">
            <w:pPr>
              <w:widowControl w:val="0"/>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1.43 (SD=.870)</w:t>
            </w:r>
          </w:p>
        </w:tc>
        <w:tc>
          <w:tcPr>
            <w:tcW w:w="1888" w:type="dxa"/>
            <w:vMerge/>
            <w:tcBorders>
              <w:top w:val="single" w:sz="4" w:space="0" w:color="000000"/>
            </w:tcBorders>
            <w:vAlign w:val="center"/>
          </w:tcPr>
          <w:p w14:paraId="0000007F" w14:textId="77777777" w:rsidR="00CC7271" w:rsidRDefault="00CC7271">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1888" w:type="dxa"/>
            <w:vMerge/>
            <w:tcBorders>
              <w:top w:val="single" w:sz="4" w:space="0" w:color="000000"/>
            </w:tcBorders>
            <w:vAlign w:val="center"/>
          </w:tcPr>
          <w:p w14:paraId="00000080" w14:textId="77777777" w:rsidR="00CC7271" w:rsidRDefault="00CC7271">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r>
      <w:tr w:rsidR="00CC7271" w14:paraId="240C69D8" w14:textId="77777777">
        <w:trPr>
          <w:jc w:val="center"/>
        </w:trPr>
        <w:tc>
          <w:tcPr>
            <w:tcW w:w="1888" w:type="dxa"/>
            <w:vMerge w:val="restart"/>
            <w:tcBorders>
              <w:top w:val="single" w:sz="4" w:space="0" w:color="000000"/>
              <w:bottom w:val="single" w:sz="4" w:space="0" w:color="000000"/>
            </w:tcBorders>
            <w:vAlign w:val="center"/>
          </w:tcPr>
          <w:p w14:paraId="00000081" w14:textId="77777777" w:rsidR="00CC7271" w:rsidRDefault="00FD3F8A">
            <w:pPr>
              <w:widowControl w:val="0"/>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Interacción enriquecedora</w:t>
            </w:r>
          </w:p>
        </w:tc>
        <w:tc>
          <w:tcPr>
            <w:tcW w:w="1888" w:type="dxa"/>
            <w:tcBorders>
              <w:top w:val="single" w:sz="4" w:space="0" w:color="000000"/>
            </w:tcBorders>
            <w:vAlign w:val="center"/>
          </w:tcPr>
          <w:p w14:paraId="00000082" w14:textId="77777777" w:rsidR="00CC7271" w:rsidRDefault="00FD3F8A">
            <w:pPr>
              <w:widowControl w:val="0"/>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Experimental</w:t>
            </w:r>
          </w:p>
        </w:tc>
        <w:tc>
          <w:tcPr>
            <w:tcW w:w="1888" w:type="dxa"/>
            <w:tcBorders>
              <w:top w:val="single" w:sz="4" w:space="0" w:color="000000"/>
            </w:tcBorders>
            <w:vAlign w:val="center"/>
          </w:tcPr>
          <w:p w14:paraId="00000083" w14:textId="77777777" w:rsidR="00CC7271" w:rsidRDefault="00FD3F8A">
            <w:pPr>
              <w:widowControl w:val="0"/>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5.29 (SD=1.132)</w:t>
            </w:r>
          </w:p>
        </w:tc>
        <w:tc>
          <w:tcPr>
            <w:tcW w:w="1888" w:type="dxa"/>
            <w:vMerge w:val="restart"/>
            <w:tcBorders>
              <w:top w:val="single" w:sz="4" w:space="0" w:color="000000"/>
            </w:tcBorders>
            <w:vAlign w:val="center"/>
          </w:tcPr>
          <w:p w14:paraId="00000084" w14:textId="77777777" w:rsidR="00CC7271" w:rsidRDefault="00FD3F8A">
            <w:pPr>
              <w:widowControl w:val="0"/>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.261</w:t>
            </w:r>
          </w:p>
        </w:tc>
        <w:tc>
          <w:tcPr>
            <w:tcW w:w="1888" w:type="dxa"/>
            <w:vMerge w:val="restart"/>
            <w:tcBorders>
              <w:top w:val="single" w:sz="4" w:space="0" w:color="000000"/>
            </w:tcBorders>
            <w:vAlign w:val="center"/>
          </w:tcPr>
          <w:p w14:paraId="00000085" w14:textId="77777777" w:rsidR="00CC7271" w:rsidRDefault="00FD3F8A">
            <w:pPr>
              <w:widowControl w:val="0"/>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0-6</w:t>
            </w:r>
          </w:p>
        </w:tc>
      </w:tr>
      <w:tr w:rsidR="00CC7271" w14:paraId="0B455C6A" w14:textId="77777777">
        <w:trPr>
          <w:jc w:val="center"/>
        </w:trPr>
        <w:tc>
          <w:tcPr>
            <w:tcW w:w="1888" w:type="dxa"/>
            <w:vMerge/>
            <w:tcBorders>
              <w:top w:val="single" w:sz="4" w:space="0" w:color="000000"/>
              <w:bottom w:val="single" w:sz="4" w:space="0" w:color="000000"/>
            </w:tcBorders>
            <w:vAlign w:val="center"/>
          </w:tcPr>
          <w:p w14:paraId="00000086" w14:textId="77777777" w:rsidR="00CC7271" w:rsidRDefault="00CC7271">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1888" w:type="dxa"/>
            <w:tcBorders>
              <w:bottom w:val="single" w:sz="4" w:space="0" w:color="000000"/>
            </w:tcBorders>
            <w:vAlign w:val="center"/>
          </w:tcPr>
          <w:p w14:paraId="00000087" w14:textId="77777777" w:rsidR="00CC7271" w:rsidRDefault="00FD3F8A">
            <w:pPr>
              <w:widowControl w:val="0"/>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Control</w:t>
            </w:r>
          </w:p>
        </w:tc>
        <w:tc>
          <w:tcPr>
            <w:tcW w:w="1888" w:type="dxa"/>
            <w:tcBorders>
              <w:bottom w:val="single" w:sz="4" w:space="0" w:color="000000"/>
            </w:tcBorders>
            <w:vAlign w:val="center"/>
          </w:tcPr>
          <w:p w14:paraId="00000088" w14:textId="77777777" w:rsidR="00CC7271" w:rsidRDefault="00FD3F8A">
            <w:pPr>
              <w:widowControl w:val="0"/>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2.86 (SD=.910)</w:t>
            </w:r>
          </w:p>
        </w:tc>
        <w:tc>
          <w:tcPr>
            <w:tcW w:w="1888" w:type="dxa"/>
            <w:vMerge/>
            <w:tcBorders>
              <w:top w:val="single" w:sz="4" w:space="0" w:color="000000"/>
            </w:tcBorders>
            <w:vAlign w:val="center"/>
          </w:tcPr>
          <w:p w14:paraId="00000089" w14:textId="77777777" w:rsidR="00CC7271" w:rsidRDefault="00CC7271">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1888" w:type="dxa"/>
            <w:vMerge/>
            <w:tcBorders>
              <w:top w:val="single" w:sz="4" w:space="0" w:color="000000"/>
            </w:tcBorders>
            <w:vAlign w:val="center"/>
          </w:tcPr>
          <w:p w14:paraId="0000008A" w14:textId="77777777" w:rsidR="00CC7271" w:rsidRDefault="00CC7271">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r>
      <w:tr w:rsidR="00CC7271" w14:paraId="7EF6F2EB" w14:textId="77777777">
        <w:trPr>
          <w:jc w:val="center"/>
        </w:trPr>
        <w:tc>
          <w:tcPr>
            <w:tcW w:w="1888" w:type="dxa"/>
            <w:vMerge w:val="restart"/>
            <w:tcBorders>
              <w:top w:val="single" w:sz="4" w:space="0" w:color="000000"/>
              <w:bottom w:val="single" w:sz="4" w:space="0" w:color="000000"/>
            </w:tcBorders>
            <w:vAlign w:val="center"/>
          </w:tcPr>
          <w:p w14:paraId="0000008B" w14:textId="77777777" w:rsidR="00CC7271" w:rsidRDefault="00FD3F8A">
            <w:pPr>
              <w:widowControl w:val="0"/>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Compromiso individual</w:t>
            </w:r>
          </w:p>
        </w:tc>
        <w:tc>
          <w:tcPr>
            <w:tcW w:w="1888" w:type="dxa"/>
            <w:tcBorders>
              <w:top w:val="single" w:sz="4" w:space="0" w:color="000000"/>
            </w:tcBorders>
            <w:vAlign w:val="center"/>
          </w:tcPr>
          <w:p w14:paraId="0000008C" w14:textId="77777777" w:rsidR="00CC7271" w:rsidRDefault="00FD3F8A">
            <w:pPr>
              <w:widowControl w:val="0"/>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Experimental</w:t>
            </w:r>
          </w:p>
        </w:tc>
        <w:tc>
          <w:tcPr>
            <w:tcW w:w="1888" w:type="dxa"/>
            <w:tcBorders>
              <w:top w:val="single" w:sz="4" w:space="0" w:color="000000"/>
            </w:tcBorders>
            <w:vAlign w:val="center"/>
          </w:tcPr>
          <w:p w14:paraId="0000008D" w14:textId="77777777" w:rsidR="00CC7271" w:rsidRDefault="00FD3F8A">
            <w:pPr>
              <w:widowControl w:val="0"/>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7.88 (SD=1.194)</w:t>
            </w:r>
          </w:p>
        </w:tc>
        <w:tc>
          <w:tcPr>
            <w:tcW w:w="1888" w:type="dxa"/>
            <w:vMerge w:val="restart"/>
            <w:tcBorders>
              <w:top w:val="single" w:sz="4" w:space="0" w:color="000000"/>
            </w:tcBorders>
            <w:vAlign w:val="center"/>
          </w:tcPr>
          <w:p w14:paraId="0000008E" w14:textId="77777777" w:rsidR="00CC7271" w:rsidRDefault="00FD3F8A">
            <w:pPr>
              <w:widowControl w:val="0"/>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.731</w:t>
            </w:r>
          </w:p>
        </w:tc>
        <w:tc>
          <w:tcPr>
            <w:tcW w:w="1888" w:type="dxa"/>
            <w:vMerge w:val="restart"/>
            <w:tcBorders>
              <w:top w:val="single" w:sz="4" w:space="0" w:color="000000"/>
            </w:tcBorders>
            <w:vAlign w:val="center"/>
          </w:tcPr>
          <w:p w14:paraId="0000008F" w14:textId="77777777" w:rsidR="00CC7271" w:rsidRDefault="00FD3F8A">
            <w:pPr>
              <w:widowControl w:val="0"/>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0-9</w:t>
            </w:r>
          </w:p>
        </w:tc>
      </w:tr>
      <w:tr w:rsidR="00CC7271" w14:paraId="62D22C36" w14:textId="77777777">
        <w:trPr>
          <w:jc w:val="center"/>
        </w:trPr>
        <w:tc>
          <w:tcPr>
            <w:tcW w:w="1888" w:type="dxa"/>
            <w:vMerge/>
            <w:tcBorders>
              <w:top w:val="single" w:sz="4" w:space="0" w:color="000000"/>
              <w:bottom w:val="single" w:sz="4" w:space="0" w:color="000000"/>
            </w:tcBorders>
            <w:vAlign w:val="center"/>
          </w:tcPr>
          <w:p w14:paraId="00000090" w14:textId="77777777" w:rsidR="00CC7271" w:rsidRDefault="00CC7271">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1888" w:type="dxa"/>
            <w:tcBorders>
              <w:bottom w:val="single" w:sz="4" w:space="0" w:color="000000"/>
            </w:tcBorders>
            <w:vAlign w:val="center"/>
          </w:tcPr>
          <w:p w14:paraId="00000091" w14:textId="77777777" w:rsidR="00CC7271" w:rsidRDefault="00FD3F8A">
            <w:pPr>
              <w:widowControl w:val="0"/>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Control</w:t>
            </w:r>
          </w:p>
        </w:tc>
        <w:tc>
          <w:tcPr>
            <w:tcW w:w="1888" w:type="dxa"/>
            <w:tcBorders>
              <w:bottom w:val="single" w:sz="4" w:space="0" w:color="000000"/>
            </w:tcBorders>
            <w:vAlign w:val="center"/>
          </w:tcPr>
          <w:p w14:paraId="00000092" w14:textId="77777777" w:rsidR="00CC7271" w:rsidRDefault="00FD3F8A">
            <w:pPr>
              <w:widowControl w:val="0"/>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5.29 (SD=1.231)</w:t>
            </w:r>
          </w:p>
        </w:tc>
        <w:tc>
          <w:tcPr>
            <w:tcW w:w="1888" w:type="dxa"/>
            <w:vMerge/>
            <w:tcBorders>
              <w:top w:val="single" w:sz="4" w:space="0" w:color="000000"/>
            </w:tcBorders>
            <w:vAlign w:val="center"/>
          </w:tcPr>
          <w:p w14:paraId="00000093" w14:textId="77777777" w:rsidR="00CC7271" w:rsidRDefault="00CC7271">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1888" w:type="dxa"/>
            <w:vMerge/>
            <w:tcBorders>
              <w:top w:val="single" w:sz="4" w:space="0" w:color="000000"/>
            </w:tcBorders>
            <w:vAlign w:val="center"/>
          </w:tcPr>
          <w:p w14:paraId="00000094" w14:textId="77777777" w:rsidR="00CC7271" w:rsidRDefault="00CC7271">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r>
      <w:tr w:rsidR="00CC7271" w14:paraId="33F703C9" w14:textId="77777777">
        <w:trPr>
          <w:jc w:val="center"/>
        </w:trPr>
        <w:tc>
          <w:tcPr>
            <w:tcW w:w="1888" w:type="dxa"/>
            <w:vMerge w:val="restart"/>
            <w:tcBorders>
              <w:top w:val="single" w:sz="4" w:space="0" w:color="000000"/>
              <w:bottom w:val="single" w:sz="4" w:space="0" w:color="000000"/>
            </w:tcBorders>
            <w:vAlign w:val="center"/>
          </w:tcPr>
          <w:p w14:paraId="00000095" w14:textId="77777777" w:rsidR="00CC7271" w:rsidRDefault="00FD3F8A">
            <w:pPr>
              <w:widowControl w:val="0"/>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Habilidades interpersonales</w:t>
            </w:r>
          </w:p>
        </w:tc>
        <w:tc>
          <w:tcPr>
            <w:tcW w:w="1888" w:type="dxa"/>
            <w:tcBorders>
              <w:top w:val="single" w:sz="4" w:space="0" w:color="000000"/>
            </w:tcBorders>
            <w:vAlign w:val="center"/>
          </w:tcPr>
          <w:p w14:paraId="00000096" w14:textId="77777777" w:rsidR="00CC7271" w:rsidRDefault="00FD3F8A">
            <w:pPr>
              <w:widowControl w:val="0"/>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Experimental</w:t>
            </w:r>
            <w:bookmarkStart w:id="0" w:name="_GoBack"/>
            <w:bookmarkEnd w:id="0"/>
          </w:p>
        </w:tc>
        <w:tc>
          <w:tcPr>
            <w:tcW w:w="1888" w:type="dxa"/>
            <w:tcBorders>
              <w:top w:val="single" w:sz="4" w:space="0" w:color="000000"/>
            </w:tcBorders>
            <w:vAlign w:val="center"/>
          </w:tcPr>
          <w:p w14:paraId="00000097" w14:textId="77777777" w:rsidR="00CC7271" w:rsidRDefault="00FD3F8A">
            <w:pPr>
              <w:widowControl w:val="0"/>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3.64 (SD=1.708)</w:t>
            </w:r>
          </w:p>
        </w:tc>
        <w:tc>
          <w:tcPr>
            <w:tcW w:w="1888" w:type="dxa"/>
            <w:vMerge w:val="restart"/>
            <w:tcBorders>
              <w:top w:val="single" w:sz="4" w:space="0" w:color="000000"/>
            </w:tcBorders>
            <w:vAlign w:val="center"/>
          </w:tcPr>
          <w:p w14:paraId="00000098" w14:textId="77777777" w:rsidR="00CC7271" w:rsidRDefault="00FD3F8A">
            <w:pPr>
              <w:widowControl w:val="0"/>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&lt;.001</w:t>
            </w:r>
          </w:p>
        </w:tc>
        <w:tc>
          <w:tcPr>
            <w:tcW w:w="1888" w:type="dxa"/>
            <w:vMerge w:val="restart"/>
            <w:tcBorders>
              <w:top w:val="single" w:sz="4" w:space="0" w:color="000000"/>
            </w:tcBorders>
            <w:vAlign w:val="center"/>
          </w:tcPr>
          <w:p w14:paraId="00000099" w14:textId="77777777" w:rsidR="00CC7271" w:rsidRDefault="00FD3F8A">
            <w:pPr>
              <w:widowControl w:val="0"/>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0-5</w:t>
            </w:r>
          </w:p>
        </w:tc>
      </w:tr>
      <w:tr w:rsidR="00CC7271" w14:paraId="26590CA3" w14:textId="77777777">
        <w:trPr>
          <w:jc w:val="center"/>
        </w:trPr>
        <w:tc>
          <w:tcPr>
            <w:tcW w:w="1888" w:type="dxa"/>
            <w:vMerge/>
            <w:tcBorders>
              <w:top w:val="single" w:sz="4" w:space="0" w:color="000000"/>
              <w:bottom w:val="single" w:sz="4" w:space="0" w:color="000000"/>
            </w:tcBorders>
            <w:vAlign w:val="center"/>
          </w:tcPr>
          <w:p w14:paraId="0000009A" w14:textId="77777777" w:rsidR="00CC7271" w:rsidRDefault="00CC7271">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1888" w:type="dxa"/>
            <w:tcBorders>
              <w:bottom w:val="single" w:sz="4" w:space="0" w:color="000000"/>
            </w:tcBorders>
            <w:vAlign w:val="center"/>
          </w:tcPr>
          <w:p w14:paraId="0000009B" w14:textId="77777777" w:rsidR="00CC7271" w:rsidRDefault="00FD3F8A">
            <w:pPr>
              <w:widowControl w:val="0"/>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Control</w:t>
            </w:r>
          </w:p>
        </w:tc>
        <w:tc>
          <w:tcPr>
            <w:tcW w:w="1888" w:type="dxa"/>
            <w:tcBorders>
              <w:bottom w:val="single" w:sz="4" w:space="0" w:color="000000"/>
            </w:tcBorders>
            <w:vAlign w:val="center"/>
          </w:tcPr>
          <w:p w14:paraId="0000009C" w14:textId="77777777" w:rsidR="00CC7271" w:rsidRDefault="00FD3F8A">
            <w:pPr>
              <w:widowControl w:val="0"/>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2.81 (SD=.814)</w:t>
            </w:r>
          </w:p>
        </w:tc>
        <w:tc>
          <w:tcPr>
            <w:tcW w:w="1888" w:type="dxa"/>
            <w:vMerge/>
            <w:tcBorders>
              <w:top w:val="single" w:sz="4" w:space="0" w:color="000000"/>
            </w:tcBorders>
            <w:vAlign w:val="center"/>
          </w:tcPr>
          <w:p w14:paraId="0000009D" w14:textId="77777777" w:rsidR="00CC7271" w:rsidRDefault="00CC7271">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1888" w:type="dxa"/>
            <w:vMerge/>
            <w:tcBorders>
              <w:top w:val="single" w:sz="4" w:space="0" w:color="000000"/>
            </w:tcBorders>
            <w:vAlign w:val="center"/>
          </w:tcPr>
          <w:p w14:paraId="0000009E" w14:textId="77777777" w:rsidR="00CC7271" w:rsidRDefault="00CC7271">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r>
    </w:tbl>
    <w:p w14:paraId="0000009F" w14:textId="77777777" w:rsidR="00CC7271" w:rsidRDefault="00FD3F8A">
      <w:pPr>
        <w:widowControl w:val="0"/>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Fuente: Elaboración propia en SPSS a través de la matriz de investigación</w:t>
      </w:r>
    </w:p>
    <w:p w14:paraId="000000A0" w14:textId="77777777" w:rsidR="00CC7271" w:rsidRDefault="00FD3F8A">
      <w:pPr>
        <w:widowControl w:val="0"/>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pesar de que, en todas las categorías, el grupo experimental puntúa por encima del grupo control, con medias superiores fácilmente apreciables, no se establecen diferencias significativas en casi ninguna de ellas. Solo para las habilidades interpersonales relacionadas con el respeto, el llegar a acuerdos, la unión de equipo y la inteligencia emocional, podemos apreciar una diferencia altamente significativa con valores por encima del 0,01. </w:t>
      </w:r>
    </w:p>
    <w:p w14:paraId="000000A2" w14:textId="77777777" w:rsidR="00CC7271" w:rsidRDefault="00FD3F8A">
      <w:pPr>
        <w:widowControl w:val="0"/>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lo largo de este artículo de investigación hemos </w:t>
      </w:r>
      <w:r w:rsidRPr="0019723F">
        <w:rPr>
          <w:rFonts w:ascii="Times New Roman" w:eastAsia="Times New Roman" w:hAnsi="Times New Roman" w:cs="Times New Roman"/>
          <w:sz w:val="24"/>
          <w:szCs w:val="24"/>
        </w:rPr>
        <w:t xml:space="preserve">estudiado </w:t>
      </w:r>
      <w:r>
        <w:rPr>
          <w:rFonts w:ascii="Times New Roman" w:eastAsia="Times New Roman" w:hAnsi="Times New Roman" w:cs="Times New Roman"/>
          <w:sz w:val="24"/>
          <w:szCs w:val="24"/>
        </w:rPr>
        <w:t>la efectividad de la estrategia metodológica “</w:t>
      </w:r>
      <w:proofErr w:type="spellStart"/>
      <w:r>
        <w:rPr>
          <w:rFonts w:ascii="Times New Roman" w:eastAsia="Times New Roman" w:hAnsi="Times New Roman" w:cs="Times New Roman"/>
          <w:sz w:val="24"/>
          <w:szCs w:val="24"/>
        </w:rPr>
        <w:t>Breakout</w:t>
      </w:r>
      <w:proofErr w:type="spellEnd"/>
      <w:r>
        <w:rPr>
          <w:rFonts w:ascii="Times New Roman" w:eastAsia="Times New Roman" w:hAnsi="Times New Roman" w:cs="Times New Roman"/>
          <w:sz w:val="24"/>
          <w:szCs w:val="24"/>
        </w:rPr>
        <w:t xml:space="preserve"> educativo” para el fomento del trabajo cooperativo. </w:t>
      </w:r>
    </w:p>
    <w:p w14:paraId="000000A3" w14:textId="77777777" w:rsidR="00CC7271" w:rsidRDefault="00FD3F8A">
      <w:pPr>
        <w:widowControl w:val="0"/>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Nuestros resultados avalan que el </w:t>
      </w:r>
      <w:proofErr w:type="spellStart"/>
      <w:r>
        <w:rPr>
          <w:rFonts w:ascii="Times New Roman" w:eastAsia="Times New Roman" w:hAnsi="Times New Roman" w:cs="Times New Roman"/>
          <w:sz w:val="24"/>
          <w:szCs w:val="24"/>
        </w:rPr>
        <w:t>Breakout</w:t>
      </w:r>
      <w:proofErr w:type="spellEnd"/>
      <w:r>
        <w:rPr>
          <w:rFonts w:ascii="Times New Roman" w:eastAsia="Times New Roman" w:hAnsi="Times New Roman" w:cs="Times New Roman"/>
          <w:sz w:val="24"/>
          <w:szCs w:val="24"/>
        </w:rPr>
        <w:t xml:space="preserve"> educativo es una estrategia óptima para fomentar la cooperación</w:t>
      </w:r>
      <w:r w:rsidRPr="0019723F">
        <w:rPr>
          <w:rFonts w:ascii="Times New Roman" w:eastAsia="Times New Roman" w:hAnsi="Times New Roman" w:cs="Times New Roman"/>
          <w:sz w:val="24"/>
          <w:szCs w:val="24"/>
        </w:rPr>
        <w:t>, ya que el grupo experimental presenta niveles más altos</w:t>
      </w:r>
      <w:r>
        <w:rPr>
          <w:rFonts w:ascii="Times New Roman" w:eastAsia="Times New Roman" w:hAnsi="Times New Roman" w:cs="Times New Roman"/>
          <w:sz w:val="24"/>
          <w:szCs w:val="24"/>
        </w:rPr>
        <w:t xml:space="preserve">, coincidiendo con los hallados en la investigación llevada a cabo por </w:t>
      </w:r>
      <w:proofErr w:type="spellStart"/>
      <w:r>
        <w:rPr>
          <w:rFonts w:ascii="Times New Roman" w:eastAsia="Times New Roman" w:hAnsi="Times New Roman" w:cs="Times New Roman"/>
          <w:sz w:val="24"/>
          <w:szCs w:val="24"/>
        </w:rPr>
        <w:t>Arimon</w:t>
      </w:r>
      <w:proofErr w:type="spellEnd"/>
      <w:r>
        <w:rPr>
          <w:rFonts w:ascii="Times New Roman" w:eastAsia="Times New Roman" w:hAnsi="Times New Roman" w:cs="Times New Roman"/>
          <w:sz w:val="24"/>
          <w:szCs w:val="24"/>
        </w:rPr>
        <w:t xml:space="preserve">-Nuevo et al. (2022), pues la resolución de los retos planteados en un </w:t>
      </w:r>
      <w:proofErr w:type="spellStart"/>
      <w:r>
        <w:rPr>
          <w:rFonts w:ascii="Times New Roman" w:eastAsia="Times New Roman" w:hAnsi="Times New Roman" w:cs="Times New Roman"/>
          <w:sz w:val="24"/>
          <w:szCs w:val="24"/>
        </w:rPr>
        <w:t>Breakout</w:t>
      </w:r>
      <w:proofErr w:type="spellEnd"/>
      <w:r>
        <w:rPr>
          <w:rFonts w:ascii="Times New Roman" w:eastAsia="Times New Roman" w:hAnsi="Times New Roman" w:cs="Times New Roman"/>
          <w:sz w:val="24"/>
          <w:szCs w:val="24"/>
        </w:rPr>
        <w:t xml:space="preserve"> contribuye a mejorar las habilidades sociales y el trabajo en equipo entre los estudiantes, así como a aumentar la cohesión entre los mismos. Asimismo, tal y como resaltan Rodríguez et al. (2023), es necesario cooperar de una forma asertiva, positiva y alentando al resto de compañeros para alcanzar la meta común y conseguir superar los desafíos en un tiempo limitado. Por su parte, Moreno y </w:t>
      </w:r>
      <w:proofErr w:type="spellStart"/>
      <w:r>
        <w:rPr>
          <w:rFonts w:ascii="Times New Roman" w:eastAsia="Times New Roman" w:hAnsi="Times New Roman" w:cs="Times New Roman"/>
          <w:sz w:val="24"/>
          <w:szCs w:val="24"/>
        </w:rPr>
        <w:t>Lopezosa</w:t>
      </w:r>
      <w:proofErr w:type="spellEnd"/>
      <w:r>
        <w:rPr>
          <w:rFonts w:ascii="Times New Roman" w:eastAsia="Times New Roman" w:hAnsi="Times New Roman" w:cs="Times New Roman"/>
          <w:sz w:val="24"/>
          <w:szCs w:val="24"/>
        </w:rPr>
        <w:t xml:space="preserve"> (2020) afirman que los estudiantes funcionan como un grupo cooperativo a la hora de enfrentarse a un problema complejo, como es la resolución de los enigmas que plantean los </w:t>
      </w:r>
      <w:proofErr w:type="spellStart"/>
      <w:r>
        <w:rPr>
          <w:rFonts w:ascii="Times New Roman" w:eastAsia="Times New Roman" w:hAnsi="Times New Roman" w:cs="Times New Roman"/>
          <w:sz w:val="24"/>
          <w:szCs w:val="24"/>
        </w:rPr>
        <w:t>Breakout</w:t>
      </w:r>
      <w:proofErr w:type="spellEnd"/>
      <w:r>
        <w:rPr>
          <w:rFonts w:ascii="Times New Roman" w:eastAsia="Times New Roman" w:hAnsi="Times New Roman" w:cs="Times New Roman"/>
          <w:sz w:val="24"/>
          <w:szCs w:val="24"/>
        </w:rPr>
        <w:t xml:space="preserve"> educativos. </w:t>
      </w:r>
    </w:p>
    <w:p w14:paraId="000000A4" w14:textId="77777777" w:rsidR="00CC7271" w:rsidRDefault="00FD3F8A">
      <w:pPr>
        <w:widowControl w:val="0"/>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Estas experiencias de gamificación ayudan al alumnado a entender y respetar las opiniones de los demás, mejoran las relaciones del grupo-clase y fomentan las habilidades comunicativas (Moreno y </w:t>
      </w:r>
      <w:proofErr w:type="spellStart"/>
      <w:r>
        <w:rPr>
          <w:rFonts w:ascii="Times New Roman" w:eastAsia="Times New Roman" w:hAnsi="Times New Roman" w:cs="Times New Roman"/>
          <w:sz w:val="24"/>
          <w:szCs w:val="24"/>
        </w:rPr>
        <w:t>Lopezosa</w:t>
      </w:r>
      <w:proofErr w:type="spellEnd"/>
      <w:r>
        <w:rPr>
          <w:rFonts w:ascii="Times New Roman" w:eastAsia="Times New Roman" w:hAnsi="Times New Roman" w:cs="Times New Roman"/>
          <w:sz w:val="24"/>
          <w:szCs w:val="24"/>
        </w:rPr>
        <w:t xml:space="preserve">, 2020). </w:t>
      </w:r>
      <w:proofErr w:type="spellStart"/>
      <w:r>
        <w:rPr>
          <w:rFonts w:ascii="Times New Roman" w:eastAsia="Times New Roman" w:hAnsi="Times New Roman" w:cs="Times New Roman"/>
          <w:sz w:val="24"/>
          <w:szCs w:val="24"/>
        </w:rPr>
        <w:t>Schrier</w:t>
      </w:r>
      <w:proofErr w:type="spellEnd"/>
      <w:r>
        <w:rPr>
          <w:rFonts w:ascii="Times New Roman" w:eastAsia="Times New Roman" w:hAnsi="Times New Roman" w:cs="Times New Roman"/>
          <w:sz w:val="24"/>
          <w:szCs w:val="24"/>
        </w:rPr>
        <w:t xml:space="preserve"> (2016) subraya que la colaboración entre compañeros y el éxito en la resolución de problemas o retos impactan significativamente en la efectividad de los juegos educativos como </w:t>
      </w:r>
      <w:proofErr w:type="spellStart"/>
      <w:r>
        <w:rPr>
          <w:rFonts w:ascii="Times New Roman" w:eastAsia="Times New Roman" w:hAnsi="Times New Roman" w:cs="Times New Roman"/>
          <w:sz w:val="24"/>
          <w:szCs w:val="24"/>
        </w:rPr>
        <w:t>Breakouts</w:t>
      </w:r>
      <w:proofErr w:type="spellEnd"/>
      <w:r>
        <w:rPr>
          <w:rFonts w:ascii="Times New Roman" w:eastAsia="Times New Roman" w:hAnsi="Times New Roman" w:cs="Times New Roman"/>
          <w:sz w:val="24"/>
          <w:szCs w:val="24"/>
        </w:rPr>
        <w:t xml:space="preserve">. </w:t>
      </w:r>
    </w:p>
    <w:p w14:paraId="000000A5" w14:textId="77777777" w:rsidR="00CC7271" w:rsidRDefault="00FD3F8A">
      <w:pPr>
        <w:widowControl w:val="0"/>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b/>
          <w:sz w:val="26"/>
          <w:szCs w:val="26"/>
        </w:rPr>
        <w:t>CONCLUSIONES</w:t>
      </w:r>
    </w:p>
    <w:p w14:paraId="000000A6" w14:textId="77777777" w:rsidR="00CC7271" w:rsidRDefault="00FD3F8A">
      <w:pPr>
        <w:widowControl w:val="0"/>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Como conclusión, se puede resaltar que </w:t>
      </w:r>
      <w:r w:rsidRPr="0019723F">
        <w:rPr>
          <w:rFonts w:ascii="Times New Roman" w:eastAsia="Times New Roman" w:hAnsi="Times New Roman" w:cs="Times New Roman"/>
          <w:sz w:val="24"/>
          <w:szCs w:val="24"/>
        </w:rPr>
        <w:t xml:space="preserve">los </w:t>
      </w:r>
      <w:proofErr w:type="spellStart"/>
      <w:r w:rsidRPr="0019723F">
        <w:rPr>
          <w:rFonts w:ascii="Times New Roman" w:eastAsia="Times New Roman" w:hAnsi="Times New Roman" w:cs="Times New Roman"/>
          <w:sz w:val="24"/>
          <w:szCs w:val="24"/>
        </w:rPr>
        <w:t>Breakout</w:t>
      </w:r>
      <w:proofErr w:type="spellEnd"/>
      <w:r w:rsidRPr="0019723F">
        <w:rPr>
          <w:rFonts w:ascii="Times New Roman" w:eastAsia="Times New Roman" w:hAnsi="Times New Roman" w:cs="Times New Roman"/>
          <w:sz w:val="24"/>
          <w:szCs w:val="24"/>
        </w:rPr>
        <w:t xml:space="preserve"> educativos tienen un potencial positivo, pues se observan mejoras en el desarrollo de habilidades cooperativas en los estudiantes, pero estas no alcanzan un nivel de significancia estadística</w:t>
      </w:r>
      <w:r>
        <w:rPr>
          <w:rFonts w:ascii="Times New Roman" w:eastAsia="Times New Roman" w:hAnsi="Times New Roman" w:cs="Times New Roman"/>
          <w:sz w:val="24"/>
          <w:szCs w:val="24"/>
        </w:rPr>
        <w:t xml:space="preserve">. </w:t>
      </w:r>
      <w:r w:rsidRPr="0019723F">
        <w:rPr>
          <w:rFonts w:ascii="Times New Roman" w:eastAsia="Times New Roman" w:hAnsi="Times New Roman" w:cs="Times New Roman"/>
          <w:sz w:val="24"/>
          <w:szCs w:val="24"/>
        </w:rPr>
        <w:t>De manera que, como propuesta de mejora se recomienda prolongar la duración de su aplicación en el aula para evaluar con mayor precisión la fiabilidad de estos resultados y confirmar su efectividad a largo plazo. Sin embargo, se puede destacar que</w:t>
      </w:r>
      <w:r>
        <w:rPr>
          <w:rFonts w:ascii="Times New Roman" w:eastAsia="Times New Roman" w:hAnsi="Times New Roman" w:cs="Times New Roman"/>
          <w:sz w:val="24"/>
          <w:szCs w:val="24"/>
        </w:rPr>
        <w:t xml:space="preserve"> a través de este enfoque metodológico el alumnado participa en actividades lúdicas y desafiantes en las que la colaboración, la comunicación y la resolución conjunta de problemas cumplen una función esencial. Por tanto, el trabajo en equipo ocupa un lugar central en el proceso educativo. Así pues, se destaca que las experiencias basadas en </w:t>
      </w:r>
      <w:proofErr w:type="spellStart"/>
      <w:r>
        <w:rPr>
          <w:rFonts w:ascii="Times New Roman" w:eastAsia="Times New Roman" w:hAnsi="Times New Roman" w:cs="Times New Roman"/>
          <w:sz w:val="24"/>
          <w:szCs w:val="24"/>
        </w:rPr>
        <w:t>Breakouts</w:t>
      </w:r>
      <w:proofErr w:type="spellEnd"/>
      <w:r>
        <w:rPr>
          <w:rFonts w:ascii="Times New Roman" w:eastAsia="Times New Roman" w:hAnsi="Times New Roman" w:cs="Times New Roman"/>
          <w:sz w:val="24"/>
          <w:szCs w:val="24"/>
        </w:rPr>
        <w:t xml:space="preserve"> educativos en el aula </w:t>
      </w:r>
      <w:r>
        <w:rPr>
          <w:rFonts w:ascii="Times New Roman" w:eastAsia="Times New Roman" w:hAnsi="Times New Roman" w:cs="Times New Roman"/>
          <w:sz w:val="24"/>
          <w:szCs w:val="24"/>
        </w:rPr>
        <w:lastRenderedPageBreak/>
        <w:t xml:space="preserve">dinamizan el ambiente escolar, haciendo las tareas más atractivas, fomentando una participación mucho más activa por parte de los estudiantes y aumentando su compromiso e implicación en su proceso de aprendizaje. Además, se destaca que estas dinámicas educativas promueven el desarrollo de habilidades sociales y fomentan el trabajo cooperativo desde edades tempranas. </w:t>
      </w:r>
    </w:p>
    <w:p w14:paraId="000000A7" w14:textId="77777777" w:rsidR="00CC7271" w:rsidRDefault="00CC7271">
      <w:pPr>
        <w:widowControl w:val="0"/>
        <w:spacing w:line="360" w:lineRule="auto"/>
        <w:jc w:val="both"/>
        <w:rPr>
          <w:rFonts w:ascii="Times New Roman" w:eastAsia="Times New Roman" w:hAnsi="Times New Roman" w:cs="Times New Roman"/>
          <w:sz w:val="24"/>
          <w:szCs w:val="24"/>
          <w:highlight w:val="yellow"/>
        </w:rPr>
      </w:pPr>
    </w:p>
    <w:p w14:paraId="000000A8" w14:textId="77777777" w:rsidR="00CC7271" w:rsidRDefault="00FD3F8A">
      <w:pPr>
        <w:widowControl w:val="0"/>
        <w:spacing w:line="360" w:lineRule="auto"/>
        <w:jc w:val="center"/>
        <w:rPr>
          <w:rFonts w:ascii="Roboto" w:eastAsia="Roboto" w:hAnsi="Roboto" w:cs="Roboto"/>
          <w:color w:val="444746"/>
          <w:sz w:val="21"/>
          <w:szCs w:val="21"/>
        </w:rPr>
      </w:pPr>
      <w:r>
        <w:rPr>
          <w:rFonts w:ascii="Times New Roman" w:eastAsia="Times New Roman" w:hAnsi="Times New Roman" w:cs="Times New Roman"/>
          <w:b/>
          <w:sz w:val="28"/>
          <w:szCs w:val="28"/>
        </w:rPr>
        <w:t>REFERENCIAS BIBLIOGRÁFICAS</w:t>
      </w:r>
    </w:p>
    <w:p w14:paraId="000000A9" w14:textId="77777777" w:rsidR="00CC7271" w:rsidRDefault="00FD3F8A">
      <w:pPr>
        <w:widowControl w:val="0"/>
        <w:spacing w:line="360" w:lineRule="auto"/>
        <w:ind w:left="72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Abraham, N., Díaz, Y., Gil, E., Giménez, I., y Ovejero, I. (2022). La amistad en el aula y el desarrollo de habilidades sociales en la infancia. </w:t>
      </w:r>
      <w:r>
        <w:rPr>
          <w:rFonts w:ascii="Times New Roman" w:eastAsia="Times New Roman" w:hAnsi="Times New Roman" w:cs="Times New Roman"/>
          <w:i/>
          <w:sz w:val="24"/>
          <w:szCs w:val="24"/>
        </w:rPr>
        <w:t>Revista Argentina de Ciencias del Comportamiento (RACC), 14</w:t>
      </w:r>
      <w:r>
        <w:rPr>
          <w:rFonts w:ascii="Times New Roman" w:eastAsia="Times New Roman" w:hAnsi="Times New Roman" w:cs="Times New Roman"/>
          <w:sz w:val="24"/>
          <w:szCs w:val="24"/>
        </w:rPr>
        <w:t>(1), 217-218.</w:t>
      </w:r>
    </w:p>
    <w:p w14:paraId="000000AA" w14:textId="77777777" w:rsidR="00CC7271" w:rsidRDefault="00FD3F8A">
      <w:pPr>
        <w:widowControl w:val="0"/>
        <w:spacing w:line="360" w:lineRule="auto"/>
        <w:ind w:left="720"/>
        <w:jc w:val="both"/>
        <w:rPr>
          <w:rFonts w:ascii="Roboto" w:eastAsia="Roboto" w:hAnsi="Roboto" w:cs="Roboto"/>
          <w:color w:val="444746"/>
          <w:sz w:val="21"/>
          <w:szCs w:val="21"/>
        </w:rPr>
      </w:pPr>
      <w:proofErr w:type="spellStart"/>
      <w:r>
        <w:rPr>
          <w:rFonts w:ascii="Times New Roman" w:eastAsia="Times New Roman" w:hAnsi="Times New Roman" w:cs="Times New Roman"/>
          <w:sz w:val="24"/>
          <w:szCs w:val="24"/>
        </w:rPr>
        <w:t>Arimon</w:t>
      </w:r>
      <w:proofErr w:type="spellEnd"/>
      <w:r>
        <w:rPr>
          <w:rFonts w:ascii="Times New Roman" w:eastAsia="Times New Roman" w:hAnsi="Times New Roman" w:cs="Times New Roman"/>
          <w:sz w:val="24"/>
          <w:szCs w:val="24"/>
        </w:rPr>
        <w:t xml:space="preserve">-Nuevo, J., </w:t>
      </w:r>
      <w:proofErr w:type="spellStart"/>
      <w:r>
        <w:rPr>
          <w:rFonts w:ascii="Times New Roman" w:eastAsia="Times New Roman" w:hAnsi="Times New Roman" w:cs="Times New Roman"/>
          <w:sz w:val="24"/>
          <w:szCs w:val="24"/>
        </w:rPr>
        <w:t>Freixa-Toha</w:t>
      </w:r>
      <w:proofErr w:type="spellEnd"/>
      <w:r>
        <w:rPr>
          <w:rFonts w:ascii="Times New Roman" w:eastAsia="Times New Roman" w:hAnsi="Times New Roman" w:cs="Times New Roman"/>
          <w:sz w:val="24"/>
          <w:szCs w:val="24"/>
        </w:rPr>
        <w:t xml:space="preserve">, J. y Sabido-Codina, J. (2022). ¿El </w:t>
      </w:r>
      <w:proofErr w:type="spellStart"/>
      <w:r>
        <w:rPr>
          <w:rFonts w:ascii="Times New Roman" w:eastAsia="Times New Roman" w:hAnsi="Times New Roman" w:cs="Times New Roman"/>
          <w:sz w:val="24"/>
          <w:szCs w:val="24"/>
        </w:rPr>
        <w:t>Breakout</w:t>
      </w:r>
      <w:proofErr w:type="spellEnd"/>
      <w:r>
        <w:rPr>
          <w:rFonts w:ascii="Times New Roman" w:eastAsia="Times New Roman" w:hAnsi="Times New Roman" w:cs="Times New Roman"/>
          <w:sz w:val="24"/>
          <w:szCs w:val="24"/>
        </w:rPr>
        <w:t xml:space="preserve"> o escape </w:t>
      </w:r>
      <w:proofErr w:type="spellStart"/>
      <w:r>
        <w:rPr>
          <w:rFonts w:ascii="Times New Roman" w:eastAsia="Times New Roman" w:hAnsi="Times New Roman" w:cs="Times New Roman"/>
          <w:sz w:val="24"/>
          <w:szCs w:val="24"/>
        </w:rPr>
        <w:t>room</w:t>
      </w:r>
      <w:proofErr w:type="spellEnd"/>
      <w:r>
        <w:rPr>
          <w:rFonts w:ascii="Times New Roman" w:eastAsia="Times New Roman" w:hAnsi="Times New Roman" w:cs="Times New Roman"/>
          <w:sz w:val="24"/>
          <w:szCs w:val="24"/>
        </w:rPr>
        <w:t xml:space="preserve"> un recurso viable para la educación infantil? </w:t>
      </w:r>
      <w:r>
        <w:rPr>
          <w:rFonts w:ascii="Times New Roman" w:eastAsia="Times New Roman" w:hAnsi="Times New Roman" w:cs="Times New Roman"/>
          <w:i/>
          <w:sz w:val="24"/>
          <w:szCs w:val="24"/>
        </w:rPr>
        <w:t>Didácticas Específicas, 27</w:t>
      </w:r>
      <w:r>
        <w:rPr>
          <w:rFonts w:ascii="Times New Roman" w:eastAsia="Times New Roman" w:hAnsi="Times New Roman" w:cs="Times New Roman"/>
          <w:sz w:val="24"/>
          <w:szCs w:val="24"/>
        </w:rPr>
        <w:t xml:space="preserve">, 97-111. </w:t>
      </w:r>
      <w:hyperlink r:id="rId17">
        <w:r>
          <w:rPr>
            <w:rFonts w:ascii="Times New Roman" w:eastAsia="Times New Roman" w:hAnsi="Times New Roman" w:cs="Times New Roman"/>
            <w:color w:val="1155CC"/>
            <w:sz w:val="24"/>
            <w:szCs w:val="24"/>
            <w:u w:val="single"/>
          </w:rPr>
          <w:t>https://doi.org/10.15366/didacticas2022.27.005</w:t>
        </w:r>
      </w:hyperlink>
    </w:p>
    <w:p w14:paraId="000000AB" w14:textId="77777777" w:rsidR="00CC7271" w:rsidRDefault="00FD3F8A">
      <w:pPr>
        <w:widowControl w:val="0"/>
        <w:spacing w:line="360" w:lineRule="auto"/>
        <w:ind w:left="72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Brown, H. y </w:t>
      </w:r>
      <w:proofErr w:type="spellStart"/>
      <w:r>
        <w:rPr>
          <w:rFonts w:ascii="Times New Roman" w:eastAsia="Times New Roman" w:hAnsi="Times New Roman" w:cs="Times New Roman"/>
          <w:sz w:val="24"/>
          <w:szCs w:val="24"/>
        </w:rPr>
        <w:t>Ciuffetelli</w:t>
      </w:r>
      <w:proofErr w:type="spellEnd"/>
      <w:r>
        <w:rPr>
          <w:rFonts w:ascii="Times New Roman" w:eastAsia="Times New Roman" w:hAnsi="Times New Roman" w:cs="Times New Roman"/>
          <w:sz w:val="24"/>
          <w:szCs w:val="24"/>
        </w:rPr>
        <w:t xml:space="preserve">, D.C. (2009). </w:t>
      </w:r>
      <w:r>
        <w:rPr>
          <w:rFonts w:ascii="Times New Roman" w:eastAsia="Times New Roman" w:hAnsi="Times New Roman" w:cs="Times New Roman"/>
          <w:i/>
          <w:sz w:val="24"/>
          <w:szCs w:val="24"/>
        </w:rPr>
        <w:t>Métodos fundamentales: comprensión de la enseñanza y el aprendizaje.</w:t>
      </w:r>
      <w:r>
        <w:rPr>
          <w:rFonts w:ascii="Times New Roman" w:eastAsia="Times New Roman" w:hAnsi="Times New Roman" w:cs="Times New Roman"/>
          <w:sz w:val="24"/>
          <w:szCs w:val="24"/>
        </w:rPr>
        <w:t xml:space="preserve"> Pearson </w:t>
      </w:r>
      <w:proofErr w:type="spellStart"/>
      <w:r>
        <w:rPr>
          <w:rFonts w:ascii="Times New Roman" w:eastAsia="Times New Roman" w:hAnsi="Times New Roman" w:cs="Times New Roman"/>
          <w:sz w:val="24"/>
          <w:szCs w:val="24"/>
        </w:rPr>
        <w:t>Education</w:t>
      </w:r>
      <w:proofErr w:type="spellEnd"/>
      <w:r>
        <w:rPr>
          <w:rFonts w:ascii="Times New Roman" w:eastAsia="Times New Roman" w:hAnsi="Times New Roman" w:cs="Times New Roman"/>
          <w:sz w:val="24"/>
          <w:szCs w:val="24"/>
        </w:rPr>
        <w:t xml:space="preserve">. </w:t>
      </w:r>
    </w:p>
    <w:p w14:paraId="000000AC" w14:textId="77777777" w:rsidR="00CC7271" w:rsidRDefault="00FD3F8A">
      <w:pPr>
        <w:widowControl w:val="0"/>
        <w:spacing w:line="360" w:lineRule="auto"/>
        <w:ind w:left="720" w:hanging="720"/>
        <w:jc w:val="both"/>
        <w:rPr>
          <w:rFonts w:ascii="Times New Roman" w:eastAsia="Times New Roman" w:hAnsi="Times New Roman" w:cs="Times New Roman"/>
          <w:color w:val="1155CC"/>
          <w:sz w:val="24"/>
          <w:szCs w:val="24"/>
          <w:highlight w:val="white"/>
        </w:rPr>
      </w:pPr>
      <w:proofErr w:type="spellStart"/>
      <w:r>
        <w:rPr>
          <w:rFonts w:ascii="Times New Roman" w:eastAsia="Times New Roman" w:hAnsi="Times New Roman" w:cs="Times New Roman"/>
          <w:sz w:val="24"/>
          <w:szCs w:val="24"/>
          <w:highlight w:val="white"/>
        </w:rPr>
        <w:t>Brusi</w:t>
      </w:r>
      <w:proofErr w:type="spellEnd"/>
      <w:r>
        <w:rPr>
          <w:rFonts w:ascii="Times New Roman" w:eastAsia="Times New Roman" w:hAnsi="Times New Roman" w:cs="Times New Roman"/>
          <w:sz w:val="24"/>
          <w:szCs w:val="24"/>
          <w:highlight w:val="white"/>
        </w:rPr>
        <w:t xml:space="preserve">, D. y Cornellà, P. (2020). Escape </w:t>
      </w:r>
      <w:proofErr w:type="spellStart"/>
      <w:r>
        <w:rPr>
          <w:rFonts w:ascii="Times New Roman" w:eastAsia="Times New Roman" w:hAnsi="Times New Roman" w:cs="Times New Roman"/>
          <w:sz w:val="24"/>
          <w:szCs w:val="24"/>
          <w:highlight w:val="white"/>
        </w:rPr>
        <w:t>rooms</w:t>
      </w:r>
      <w:proofErr w:type="spellEnd"/>
      <w:r>
        <w:rPr>
          <w:rFonts w:ascii="Times New Roman" w:eastAsia="Times New Roman" w:hAnsi="Times New Roman" w:cs="Times New Roman"/>
          <w:sz w:val="24"/>
          <w:szCs w:val="24"/>
          <w:highlight w:val="white"/>
        </w:rPr>
        <w:t xml:space="preserve"> y </w:t>
      </w:r>
      <w:proofErr w:type="spellStart"/>
      <w:r>
        <w:rPr>
          <w:rFonts w:ascii="Times New Roman" w:eastAsia="Times New Roman" w:hAnsi="Times New Roman" w:cs="Times New Roman"/>
          <w:sz w:val="24"/>
          <w:szCs w:val="24"/>
          <w:highlight w:val="white"/>
        </w:rPr>
        <w:t>Breakouts</w:t>
      </w:r>
      <w:proofErr w:type="spellEnd"/>
      <w:r>
        <w:rPr>
          <w:rFonts w:ascii="Times New Roman" w:eastAsia="Times New Roman" w:hAnsi="Times New Roman" w:cs="Times New Roman"/>
          <w:sz w:val="24"/>
          <w:szCs w:val="24"/>
          <w:highlight w:val="white"/>
        </w:rPr>
        <w:t xml:space="preserve"> en Geología. La experiencia de “Terra sísmica”. </w:t>
      </w:r>
      <w:r>
        <w:rPr>
          <w:rFonts w:ascii="Times New Roman" w:eastAsia="Times New Roman" w:hAnsi="Times New Roman" w:cs="Times New Roman"/>
          <w:i/>
          <w:sz w:val="24"/>
          <w:szCs w:val="24"/>
          <w:highlight w:val="white"/>
        </w:rPr>
        <w:t>Enseñanza de las Ciencias de la Tierra, 28</w:t>
      </w:r>
      <w:r>
        <w:rPr>
          <w:rFonts w:ascii="Times New Roman" w:eastAsia="Times New Roman" w:hAnsi="Times New Roman" w:cs="Times New Roman"/>
          <w:sz w:val="24"/>
          <w:szCs w:val="24"/>
          <w:highlight w:val="white"/>
        </w:rPr>
        <w:t xml:space="preserve">(1), 74-88. </w:t>
      </w:r>
      <w:hyperlink r:id="rId18">
        <w:r>
          <w:rPr>
            <w:rFonts w:ascii="Times New Roman" w:eastAsia="Times New Roman" w:hAnsi="Times New Roman" w:cs="Times New Roman"/>
            <w:color w:val="0B57D0"/>
            <w:sz w:val="24"/>
            <w:szCs w:val="24"/>
            <w:highlight w:val="white"/>
          </w:rPr>
          <w:t>https://raco.cat</w:t>
        </w:r>
      </w:hyperlink>
      <w:hyperlink r:id="rId19">
        <w:r>
          <w:rPr>
            <w:rFonts w:ascii="Times New Roman" w:eastAsia="Times New Roman" w:hAnsi="Times New Roman" w:cs="Times New Roman"/>
            <w:color w:val="1155CC"/>
            <w:sz w:val="24"/>
            <w:szCs w:val="24"/>
            <w:highlight w:val="white"/>
          </w:rPr>
          <w:t>/</w:t>
        </w:r>
      </w:hyperlink>
      <w:r>
        <w:rPr>
          <w:rFonts w:ascii="Times New Roman" w:eastAsia="Times New Roman" w:hAnsi="Times New Roman" w:cs="Times New Roman"/>
          <w:color w:val="1155CC"/>
          <w:sz w:val="24"/>
          <w:szCs w:val="24"/>
          <w:highlight w:val="white"/>
        </w:rPr>
        <w:t>index.php/ECT/article/view/372926</w:t>
      </w:r>
    </w:p>
    <w:p w14:paraId="000000AD" w14:textId="77777777" w:rsidR="00CC7271" w:rsidRPr="00FD3F8A" w:rsidRDefault="00FD3F8A">
      <w:pPr>
        <w:widowControl w:val="0"/>
        <w:spacing w:line="360" w:lineRule="auto"/>
        <w:ind w:left="720" w:hanging="720"/>
        <w:jc w:val="both"/>
        <w:rPr>
          <w:rFonts w:ascii="Roboto" w:eastAsia="Roboto" w:hAnsi="Roboto" w:cs="Roboto"/>
          <w:color w:val="444746"/>
          <w:sz w:val="21"/>
          <w:szCs w:val="21"/>
          <w:highlight w:val="white"/>
          <w:lang w:val="en-US"/>
        </w:rPr>
      </w:pPr>
      <w:r w:rsidRPr="00FD3F8A">
        <w:rPr>
          <w:rFonts w:ascii="Times New Roman" w:eastAsia="Times New Roman" w:hAnsi="Times New Roman" w:cs="Times New Roman"/>
          <w:sz w:val="24"/>
          <w:szCs w:val="24"/>
          <w:lang w:val="en-US"/>
        </w:rPr>
        <w:t xml:space="preserve">Cheung, C., Bedford, R., </w:t>
      </w:r>
      <w:proofErr w:type="spellStart"/>
      <w:r w:rsidRPr="00FD3F8A">
        <w:rPr>
          <w:rFonts w:ascii="Times New Roman" w:eastAsia="Times New Roman" w:hAnsi="Times New Roman" w:cs="Times New Roman"/>
          <w:sz w:val="24"/>
          <w:szCs w:val="24"/>
          <w:lang w:val="en-US"/>
        </w:rPr>
        <w:t>Saez</w:t>
      </w:r>
      <w:proofErr w:type="spellEnd"/>
      <w:r w:rsidRPr="00FD3F8A">
        <w:rPr>
          <w:rFonts w:ascii="Times New Roman" w:eastAsia="Times New Roman" w:hAnsi="Times New Roman" w:cs="Times New Roman"/>
          <w:sz w:val="24"/>
          <w:szCs w:val="24"/>
          <w:lang w:val="en-US"/>
        </w:rPr>
        <w:t xml:space="preserve">, I., Karmiloff-Smith, A., y Smith, T. (2017). Daily touchscreen use in infants and toddlers is associated with reduced sleep and delayed sleep onset. </w:t>
      </w:r>
      <w:r w:rsidRPr="00FD3F8A">
        <w:rPr>
          <w:rFonts w:ascii="Times New Roman" w:eastAsia="Times New Roman" w:hAnsi="Times New Roman" w:cs="Times New Roman"/>
          <w:i/>
          <w:sz w:val="24"/>
          <w:szCs w:val="24"/>
          <w:lang w:val="en-US"/>
        </w:rPr>
        <w:t>Scientific Reports, 7</w:t>
      </w:r>
      <w:r w:rsidRPr="00FD3F8A">
        <w:rPr>
          <w:rFonts w:ascii="Times New Roman" w:eastAsia="Times New Roman" w:hAnsi="Times New Roman" w:cs="Times New Roman"/>
          <w:sz w:val="24"/>
          <w:szCs w:val="24"/>
          <w:lang w:val="en-US"/>
        </w:rPr>
        <w:t>(46104), 1–7.</w:t>
      </w:r>
      <w:r w:rsidRPr="00FD3F8A">
        <w:rPr>
          <w:rFonts w:ascii="Times New Roman" w:eastAsia="Times New Roman" w:hAnsi="Times New Roman" w:cs="Times New Roman"/>
          <w:color w:val="444746"/>
          <w:sz w:val="24"/>
          <w:szCs w:val="24"/>
          <w:lang w:val="en-US"/>
        </w:rPr>
        <w:t xml:space="preserve"> </w:t>
      </w:r>
      <w:hyperlink r:id="rId20">
        <w:r w:rsidRPr="00FD3F8A">
          <w:rPr>
            <w:rFonts w:ascii="Times New Roman" w:eastAsia="Times New Roman" w:hAnsi="Times New Roman" w:cs="Times New Roman"/>
            <w:color w:val="0B57D0"/>
            <w:sz w:val="24"/>
            <w:szCs w:val="24"/>
            <w:lang w:val="en-US"/>
          </w:rPr>
          <w:t>https://doi.org/10.1038/srep46104</w:t>
        </w:r>
      </w:hyperlink>
    </w:p>
    <w:p w14:paraId="000000AE" w14:textId="77777777" w:rsidR="00CC7271" w:rsidRDefault="00FD3F8A">
      <w:pPr>
        <w:widowControl w:val="0"/>
        <w:spacing w:line="360" w:lineRule="auto"/>
        <w:ind w:left="720" w:hanging="720"/>
        <w:jc w:val="both"/>
        <w:rPr>
          <w:rFonts w:ascii="Times New Roman" w:eastAsia="Times New Roman" w:hAnsi="Times New Roman" w:cs="Times New Roman"/>
          <w:color w:val="1155CC"/>
          <w:sz w:val="24"/>
          <w:szCs w:val="24"/>
        </w:rPr>
      </w:pPr>
      <w:proofErr w:type="spellStart"/>
      <w:r w:rsidRPr="00FD3F8A">
        <w:rPr>
          <w:rFonts w:ascii="Times New Roman" w:eastAsia="Times New Roman" w:hAnsi="Times New Roman" w:cs="Times New Roman"/>
          <w:sz w:val="24"/>
          <w:szCs w:val="24"/>
          <w:highlight w:val="white"/>
          <w:lang w:val="en-US"/>
        </w:rPr>
        <w:t>Cornellà</w:t>
      </w:r>
      <w:proofErr w:type="spellEnd"/>
      <w:r w:rsidRPr="00FD3F8A">
        <w:rPr>
          <w:rFonts w:ascii="Times New Roman" w:eastAsia="Times New Roman" w:hAnsi="Times New Roman" w:cs="Times New Roman"/>
          <w:sz w:val="24"/>
          <w:szCs w:val="24"/>
          <w:highlight w:val="white"/>
          <w:lang w:val="en-US"/>
        </w:rPr>
        <w:t xml:space="preserve">, P., </w:t>
      </w:r>
      <w:proofErr w:type="spellStart"/>
      <w:r w:rsidRPr="00FD3F8A">
        <w:rPr>
          <w:rFonts w:ascii="Times New Roman" w:eastAsia="Times New Roman" w:hAnsi="Times New Roman" w:cs="Times New Roman"/>
          <w:sz w:val="24"/>
          <w:szCs w:val="24"/>
          <w:highlight w:val="white"/>
          <w:lang w:val="en-US"/>
        </w:rPr>
        <w:t>Estebanell</w:t>
      </w:r>
      <w:proofErr w:type="spellEnd"/>
      <w:r w:rsidRPr="00FD3F8A">
        <w:rPr>
          <w:rFonts w:ascii="Times New Roman" w:eastAsia="Times New Roman" w:hAnsi="Times New Roman" w:cs="Times New Roman"/>
          <w:sz w:val="24"/>
          <w:szCs w:val="24"/>
          <w:highlight w:val="white"/>
          <w:lang w:val="en-US"/>
        </w:rPr>
        <w:t xml:space="preserve">, M., y </w:t>
      </w:r>
      <w:proofErr w:type="spellStart"/>
      <w:r w:rsidRPr="00FD3F8A">
        <w:rPr>
          <w:rFonts w:ascii="Times New Roman" w:eastAsia="Times New Roman" w:hAnsi="Times New Roman" w:cs="Times New Roman"/>
          <w:sz w:val="24"/>
          <w:szCs w:val="24"/>
          <w:highlight w:val="white"/>
          <w:lang w:val="en-US"/>
        </w:rPr>
        <w:t>Brusi</w:t>
      </w:r>
      <w:proofErr w:type="spellEnd"/>
      <w:r w:rsidRPr="00FD3F8A">
        <w:rPr>
          <w:rFonts w:ascii="Times New Roman" w:eastAsia="Times New Roman" w:hAnsi="Times New Roman" w:cs="Times New Roman"/>
          <w:sz w:val="24"/>
          <w:szCs w:val="24"/>
          <w:highlight w:val="white"/>
          <w:lang w:val="en-US"/>
        </w:rPr>
        <w:t xml:space="preserve">, D. (2020). </w:t>
      </w:r>
      <w:r>
        <w:rPr>
          <w:rFonts w:ascii="Times New Roman" w:eastAsia="Times New Roman" w:hAnsi="Times New Roman" w:cs="Times New Roman"/>
          <w:sz w:val="24"/>
          <w:szCs w:val="24"/>
          <w:highlight w:val="white"/>
        </w:rPr>
        <w:t>Gamificación y aprendizaje basado en juegos. Enseñanza de las Ciencias de la Tierra, 28(1), 5-19.</w:t>
      </w:r>
      <w:r>
        <w:rPr>
          <w:rFonts w:ascii="Times New Roman" w:eastAsia="Times New Roman" w:hAnsi="Times New Roman" w:cs="Times New Roman"/>
          <w:color w:val="444746"/>
          <w:sz w:val="24"/>
          <w:szCs w:val="24"/>
          <w:highlight w:val="white"/>
        </w:rPr>
        <w:t xml:space="preserve"> </w:t>
      </w:r>
      <w:hyperlink r:id="rId21">
        <w:r>
          <w:rPr>
            <w:rFonts w:ascii="Times New Roman" w:eastAsia="Times New Roman" w:hAnsi="Times New Roman" w:cs="Times New Roman"/>
            <w:color w:val="0B57D0"/>
            <w:sz w:val="24"/>
            <w:szCs w:val="24"/>
            <w:highlight w:val="white"/>
          </w:rPr>
          <w:t>https://raco.cat/index.php</w:t>
        </w:r>
      </w:hyperlink>
      <w:hyperlink r:id="rId22">
        <w:r>
          <w:rPr>
            <w:rFonts w:ascii="Times New Roman" w:eastAsia="Times New Roman" w:hAnsi="Times New Roman" w:cs="Times New Roman"/>
            <w:color w:val="1155CC"/>
            <w:sz w:val="24"/>
            <w:szCs w:val="24"/>
            <w:highlight w:val="white"/>
          </w:rPr>
          <w:t>/</w:t>
        </w:r>
      </w:hyperlink>
      <w:r>
        <w:rPr>
          <w:rFonts w:ascii="Times New Roman" w:eastAsia="Times New Roman" w:hAnsi="Times New Roman" w:cs="Times New Roman"/>
          <w:color w:val="1155CC"/>
          <w:sz w:val="24"/>
          <w:szCs w:val="24"/>
          <w:highlight w:val="white"/>
        </w:rPr>
        <w:t>ECT/article/view/372920</w:t>
      </w:r>
    </w:p>
    <w:p w14:paraId="000000AF" w14:textId="77777777" w:rsidR="00CC7271" w:rsidRDefault="00FD3F8A">
      <w:pPr>
        <w:widowControl w:val="0"/>
        <w:spacing w:line="360" w:lineRule="auto"/>
        <w:ind w:left="720" w:hanging="720"/>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lastRenderedPageBreak/>
        <w:t>Costumero</w:t>
      </w:r>
      <w:proofErr w:type="spellEnd"/>
      <w:r>
        <w:rPr>
          <w:rFonts w:ascii="Times New Roman" w:eastAsia="Times New Roman" w:hAnsi="Times New Roman" w:cs="Times New Roman"/>
          <w:sz w:val="24"/>
          <w:szCs w:val="24"/>
        </w:rPr>
        <w:t>, I. (2007).</w:t>
      </w:r>
      <w:r>
        <w:rPr>
          <w:rFonts w:ascii="Times New Roman" w:eastAsia="Times New Roman" w:hAnsi="Times New Roman" w:cs="Times New Roman"/>
          <w:i/>
          <w:sz w:val="24"/>
          <w:szCs w:val="24"/>
        </w:rPr>
        <w:t xml:space="preserve"> Relaciones en el entorno de trabajo.</w:t>
      </w:r>
      <w:r>
        <w:rPr>
          <w:rFonts w:ascii="Times New Roman" w:eastAsia="Times New Roman" w:hAnsi="Times New Roman" w:cs="Times New Roman"/>
          <w:sz w:val="24"/>
          <w:szCs w:val="24"/>
        </w:rPr>
        <w:t xml:space="preserve"> Ediciones Paraninfo, SA.</w:t>
      </w:r>
    </w:p>
    <w:p w14:paraId="000000B0" w14:textId="77777777" w:rsidR="00CC7271" w:rsidRDefault="00FD3F8A">
      <w:pPr>
        <w:widowControl w:val="0"/>
        <w:spacing w:line="360" w:lineRule="auto"/>
        <w:ind w:left="72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 Lucas, R. (2024). </w:t>
      </w:r>
      <w:r>
        <w:rPr>
          <w:rFonts w:ascii="Times New Roman" w:eastAsia="Times New Roman" w:hAnsi="Times New Roman" w:cs="Times New Roman"/>
          <w:i/>
          <w:sz w:val="24"/>
          <w:szCs w:val="24"/>
        </w:rPr>
        <w:t>La amistad, el respeto y la empatía como contenidos de aprendizaje en Educación Infantil.</w:t>
      </w:r>
      <w:r>
        <w:rPr>
          <w:rFonts w:ascii="Times New Roman" w:eastAsia="Times New Roman" w:hAnsi="Times New Roman" w:cs="Times New Roman"/>
          <w:sz w:val="24"/>
          <w:szCs w:val="24"/>
        </w:rPr>
        <w:t xml:space="preserve"> [Trabajo fin de grado, Universidad de Valladolid]. </w:t>
      </w:r>
      <w:proofErr w:type="spellStart"/>
      <w:r>
        <w:rPr>
          <w:rFonts w:ascii="Times New Roman" w:eastAsia="Times New Roman" w:hAnsi="Times New Roman" w:cs="Times New Roman"/>
          <w:sz w:val="24"/>
          <w:szCs w:val="24"/>
        </w:rPr>
        <w:t>Uvadoc</w:t>
      </w:r>
      <w:proofErr w:type="spellEnd"/>
      <w:r>
        <w:rPr>
          <w:rFonts w:ascii="Times New Roman" w:eastAsia="Times New Roman" w:hAnsi="Times New Roman" w:cs="Times New Roman"/>
          <w:sz w:val="24"/>
          <w:szCs w:val="24"/>
        </w:rPr>
        <w:t xml:space="preserve">. </w:t>
      </w:r>
      <w:hyperlink r:id="rId23">
        <w:r>
          <w:rPr>
            <w:rFonts w:ascii="Times New Roman" w:eastAsia="Times New Roman" w:hAnsi="Times New Roman" w:cs="Times New Roman"/>
            <w:color w:val="0B57D0"/>
            <w:sz w:val="24"/>
            <w:szCs w:val="24"/>
          </w:rPr>
          <w:t>https://uvadoc.uva.es/bitstream/handle/10324/68529/TFG-B.%202140.pdf?sequence=1&amp;isAllowed=y</w:t>
        </w:r>
      </w:hyperlink>
    </w:p>
    <w:p w14:paraId="000000B1" w14:textId="77777777" w:rsidR="00CC7271" w:rsidRDefault="00FD3F8A">
      <w:pPr>
        <w:widowControl w:val="0"/>
        <w:spacing w:line="360" w:lineRule="auto"/>
        <w:ind w:left="72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Gamito, R., </w:t>
      </w:r>
      <w:proofErr w:type="spellStart"/>
      <w:r>
        <w:rPr>
          <w:rFonts w:ascii="Times New Roman" w:eastAsia="Times New Roman" w:hAnsi="Times New Roman" w:cs="Times New Roman"/>
          <w:sz w:val="24"/>
          <w:szCs w:val="24"/>
        </w:rPr>
        <w:t>Aristizabal</w:t>
      </w:r>
      <w:proofErr w:type="spellEnd"/>
      <w:r>
        <w:rPr>
          <w:rFonts w:ascii="Times New Roman" w:eastAsia="Times New Roman" w:hAnsi="Times New Roman" w:cs="Times New Roman"/>
          <w:sz w:val="24"/>
          <w:szCs w:val="24"/>
        </w:rPr>
        <w:t xml:space="preserve">, P., y Vizcarra, M. (2017). La necesidad de trabajar los riesgos de internet en el aula. </w:t>
      </w:r>
      <w:r>
        <w:rPr>
          <w:rFonts w:ascii="Times New Roman" w:eastAsia="Times New Roman" w:hAnsi="Times New Roman" w:cs="Times New Roman"/>
          <w:i/>
          <w:sz w:val="24"/>
          <w:szCs w:val="24"/>
        </w:rPr>
        <w:t>Revista de Currículum y Formación de Profesorado,  21</w:t>
      </w:r>
      <w:r>
        <w:rPr>
          <w:rFonts w:ascii="Times New Roman" w:eastAsia="Times New Roman" w:hAnsi="Times New Roman" w:cs="Times New Roman"/>
          <w:sz w:val="24"/>
          <w:szCs w:val="24"/>
        </w:rPr>
        <w:t xml:space="preserve">(2), 409-426. </w:t>
      </w:r>
      <w:hyperlink r:id="rId24">
        <w:r>
          <w:rPr>
            <w:rFonts w:ascii="Times New Roman" w:eastAsia="Times New Roman" w:hAnsi="Times New Roman" w:cs="Times New Roman"/>
            <w:color w:val="0B57D0"/>
            <w:sz w:val="24"/>
            <w:szCs w:val="24"/>
          </w:rPr>
          <w:t>http://hdl.handle.net/10481/48740</w:t>
        </w:r>
      </w:hyperlink>
    </w:p>
    <w:p w14:paraId="000000B2" w14:textId="77777777" w:rsidR="00CC7271" w:rsidRPr="00FD3F8A" w:rsidRDefault="00FD3F8A">
      <w:pPr>
        <w:widowControl w:val="0"/>
        <w:spacing w:line="360" w:lineRule="auto"/>
        <w:ind w:left="720" w:hanging="720"/>
        <w:jc w:val="both"/>
        <w:rPr>
          <w:rFonts w:ascii="Times New Roman" w:eastAsia="Times New Roman" w:hAnsi="Times New Roman" w:cs="Times New Roman"/>
          <w:sz w:val="24"/>
          <w:szCs w:val="24"/>
          <w:lang w:val="en-US"/>
        </w:rPr>
      </w:pPr>
      <w:proofErr w:type="spellStart"/>
      <w:r>
        <w:rPr>
          <w:rFonts w:ascii="Times New Roman" w:eastAsia="Times New Roman" w:hAnsi="Times New Roman" w:cs="Times New Roman"/>
          <w:sz w:val="24"/>
          <w:szCs w:val="24"/>
        </w:rPr>
        <w:t>Gholamali</w:t>
      </w:r>
      <w:proofErr w:type="spellEnd"/>
      <w:r>
        <w:rPr>
          <w:rFonts w:ascii="Times New Roman" w:eastAsia="Times New Roman" w:hAnsi="Times New Roman" w:cs="Times New Roman"/>
          <w:sz w:val="24"/>
          <w:szCs w:val="24"/>
        </w:rPr>
        <w:t xml:space="preserve">, M., </w:t>
      </w:r>
      <w:proofErr w:type="spellStart"/>
      <w:r>
        <w:rPr>
          <w:rFonts w:ascii="Times New Roman" w:eastAsia="Times New Roman" w:hAnsi="Times New Roman" w:cs="Times New Roman"/>
          <w:sz w:val="24"/>
          <w:szCs w:val="24"/>
        </w:rPr>
        <w:t>Afzali</w:t>
      </w:r>
      <w:proofErr w:type="spellEnd"/>
      <w:r>
        <w:rPr>
          <w:rFonts w:ascii="Times New Roman" w:eastAsia="Times New Roman" w:hAnsi="Times New Roman" w:cs="Times New Roman"/>
          <w:sz w:val="24"/>
          <w:szCs w:val="24"/>
        </w:rPr>
        <w:t xml:space="preserve">, L., </w:t>
      </w:r>
      <w:proofErr w:type="spellStart"/>
      <w:r>
        <w:rPr>
          <w:rFonts w:ascii="Times New Roman" w:eastAsia="Times New Roman" w:hAnsi="Times New Roman" w:cs="Times New Roman"/>
          <w:sz w:val="24"/>
          <w:szCs w:val="24"/>
        </w:rPr>
        <w:t>Borhanzadeh</w:t>
      </w:r>
      <w:proofErr w:type="spellEnd"/>
      <w:r>
        <w:rPr>
          <w:rFonts w:ascii="Times New Roman" w:eastAsia="Times New Roman" w:hAnsi="Times New Roman" w:cs="Times New Roman"/>
          <w:sz w:val="24"/>
          <w:szCs w:val="24"/>
        </w:rPr>
        <w:t xml:space="preserve">, S., </w:t>
      </w:r>
      <w:proofErr w:type="spellStart"/>
      <w:r>
        <w:rPr>
          <w:rFonts w:ascii="Times New Roman" w:eastAsia="Times New Roman" w:hAnsi="Times New Roman" w:cs="Times New Roman"/>
          <w:sz w:val="24"/>
          <w:szCs w:val="24"/>
        </w:rPr>
        <w:t>Afzali</w:t>
      </w:r>
      <w:proofErr w:type="spellEnd"/>
      <w:r>
        <w:rPr>
          <w:rFonts w:ascii="Times New Roman" w:eastAsia="Times New Roman" w:hAnsi="Times New Roman" w:cs="Times New Roman"/>
          <w:sz w:val="24"/>
          <w:szCs w:val="24"/>
        </w:rPr>
        <w:t xml:space="preserve">, F. y </w:t>
      </w:r>
      <w:proofErr w:type="spellStart"/>
      <w:r>
        <w:rPr>
          <w:rFonts w:ascii="Times New Roman" w:eastAsia="Times New Roman" w:hAnsi="Times New Roman" w:cs="Times New Roman"/>
          <w:sz w:val="24"/>
          <w:szCs w:val="24"/>
        </w:rPr>
        <w:t>Davoodi</w:t>
      </w:r>
      <w:proofErr w:type="spellEnd"/>
      <w:r>
        <w:rPr>
          <w:rFonts w:ascii="Times New Roman" w:eastAsia="Times New Roman" w:hAnsi="Times New Roman" w:cs="Times New Roman"/>
          <w:sz w:val="24"/>
          <w:szCs w:val="24"/>
        </w:rPr>
        <w:t xml:space="preserve">, M. (2011). </w:t>
      </w:r>
      <w:r w:rsidRPr="00FD3F8A">
        <w:rPr>
          <w:rFonts w:ascii="Times New Roman" w:eastAsia="Times New Roman" w:hAnsi="Times New Roman" w:cs="Times New Roman"/>
          <w:sz w:val="24"/>
          <w:szCs w:val="24"/>
          <w:lang w:val="en-US"/>
        </w:rPr>
        <w:t xml:space="preserve">The effect of cooperative learning on the social skills of first grade elementary school girls. </w:t>
      </w:r>
      <w:r w:rsidRPr="00FD3F8A">
        <w:rPr>
          <w:rFonts w:ascii="Times New Roman" w:eastAsia="Times New Roman" w:hAnsi="Times New Roman" w:cs="Times New Roman"/>
          <w:i/>
          <w:sz w:val="24"/>
          <w:szCs w:val="24"/>
          <w:lang w:val="en-US"/>
        </w:rPr>
        <w:t>Procedia Social and Behavioral Sciences, 1</w:t>
      </w:r>
      <w:r w:rsidRPr="00FD3F8A">
        <w:rPr>
          <w:rFonts w:ascii="Times New Roman" w:eastAsia="Times New Roman" w:hAnsi="Times New Roman" w:cs="Times New Roman"/>
          <w:sz w:val="24"/>
          <w:szCs w:val="24"/>
          <w:lang w:val="en-US"/>
        </w:rPr>
        <w:t xml:space="preserve">5, 1802-1805. </w:t>
      </w:r>
      <w:hyperlink r:id="rId25">
        <w:r w:rsidRPr="00FD3F8A">
          <w:rPr>
            <w:rFonts w:ascii="Times New Roman" w:eastAsia="Times New Roman" w:hAnsi="Times New Roman" w:cs="Times New Roman"/>
            <w:color w:val="1155CC"/>
            <w:sz w:val="24"/>
            <w:szCs w:val="24"/>
            <w:u w:val="single"/>
            <w:lang w:val="en-US"/>
          </w:rPr>
          <w:t>https://doi.org/10.1016/j.sbspro.2011.04.006</w:t>
        </w:r>
      </w:hyperlink>
    </w:p>
    <w:p w14:paraId="000000B3" w14:textId="77777777" w:rsidR="00CC7271" w:rsidRPr="00FD3F8A" w:rsidRDefault="00FD3F8A">
      <w:pPr>
        <w:widowControl w:val="0"/>
        <w:spacing w:line="360" w:lineRule="auto"/>
        <w:ind w:left="720" w:hanging="720"/>
        <w:jc w:val="both"/>
        <w:rPr>
          <w:rFonts w:ascii="Roboto" w:eastAsia="Roboto" w:hAnsi="Roboto" w:cs="Roboto"/>
          <w:sz w:val="21"/>
          <w:szCs w:val="21"/>
          <w:lang w:val="en-US"/>
        </w:rPr>
      </w:pPr>
      <w:r w:rsidRPr="00FD3F8A">
        <w:rPr>
          <w:rFonts w:ascii="Times New Roman" w:eastAsia="Times New Roman" w:hAnsi="Times New Roman" w:cs="Times New Roman"/>
          <w:sz w:val="24"/>
          <w:szCs w:val="24"/>
          <w:lang w:val="en-US"/>
        </w:rPr>
        <w:t xml:space="preserve">Gillies, R. (2016). Cooperative Learning: Review of Research and Practice. </w:t>
      </w:r>
      <w:r w:rsidRPr="00FD3F8A">
        <w:rPr>
          <w:rFonts w:ascii="Times New Roman" w:eastAsia="Times New Roman" w:hAnsi="Times New Roman" w:cs="Times New Roman"/>
          <w:i/>
          <w:sz w:val="24"/>
          <w:szCs w:val="24"/>
          <w:lang w:val="en-US"/>
        </w:rPr>
        <w:t>Australian Journal of Teacher Education, 41</w:t>
      </w:r>
      <w:r w:rsidRPr="00FD3F8A">
        <w:rPr>
          <w:rFonts w:ascii="Times New Roman" w:eastAsia="Times New Roman" w:hAnsi="Times New Roman" w:cs="Times New Roman"/>
          <w:sz w:val="24"/>
          <w:szCs w:val="24"/>
          <w:lang w:val="en-US"/>
        </w:rPr>
        <w:t xml:space="preserve">(3), 39-54. </w:t>
      </w:r>
      <w:hyperlink r:id="rId26">
        <w:r w:rsidRPr="00FD3F8A">
          <w:rPr>
            <w:rFonts w:ascii="Times New Roman" w:eastAsia="Times New Roman" w:hAnsi="Times New Roman" w:cs="Times New Roman"/>
            <w:color w:val="1155CC"/>
            <w:sz w:val="24"/>
            <w:szCs w:val="24"/>
            <w:u w:val="single"/>
            <w:lang w:val="en-US"/>
          </w:rPr>
          <w:t>https://doi.org/10.14221/ajte.2016v41n3.3</w:t>
        </w:r>
      </w:hyperlink>
    </w:p>
    <w:p w14:paraId="000000B4" w14:textId="77777777" w:rsidR="00CC7271" w:rsidRDefault="00FD3F8A">
      <w:pPr>
        <w:widowControl w:val="0"/>
        <w:spacing w:line="360" w:lineRule="auto"/>
        <w:ind w:left="720" w:hanging="720"/>
        <w:jc w:val="both"/>
        <w:rPr>
          <w:rFonts w:ascii="Times New Roman" w:eastAsia="Times New Roman" w:hAnsi="Times New Roman" w:cs="Times New Roman"/>
          <w:color w:val="444746"/>
          <w:sz w:val="24"/>
          <w:szCs w:val="24"/>
        </w:rPr>
      </w:pPr>
      <w:r>
        <w:rPr>
          <w:rFonts w:ascii="Times New Roman" w:eastAsia="Times New Roman" w:hAnsi="Times New Roman" w:cs="Times New Roman"/>
          <w:sz w:val="24"/>
          <w:szCs w:val="24"/>
        </w:rPr>
        <w:t xml:space="preserve">Gómez, L., Díaz, S. B., Barrios, C., Morejón, E. L., y Padrón, A. (2014). La educación en valores profesionales en la Filial de Tecnología de la Salud Simón Bolívar. </w:t>
      </w:r>
      <w:r>
        <w:rPr>
          <w:rFonts w:ascii="Times New Roman" w:eastAsia="Times New Roman" w:hAnsi="Times New Roman" w:cs="Times New Roman"/>
          <w:i/>
          <w:sz w:val="24"/>
          <w:szCs w:val="24"/>
        </w:rPr>
        <w:t>Revista de Ciencias Médicas de Pinar del Río, 18</w:t>
      </w:r>
      <w:r>
        <w:rPr>
          <w:rFonts w:ascii="Times New Roman" w:eastAsia="Times New Roman" w:hAnsi="Times New Roman" w:cs="Times New Roman"/>
          <w:sz w:val="24"/>
          <w:szCs w:val="24"/>
        </w:rPr>
        <w:t xml:space="preserve">(1), 111-123. </w:t>
      </w:r>
      <w:hyperlink r:id="rId27">
        <w:r>
          <w:rPr>
            <w:rFonts w:ascii="Times New Roman" w:eastAsia="Times New Roman" w:hAnsi="Times New Roman" w:cs="Times New Roman"/>
            <w:color w:val="0B57D0"/>
            <w:sz w:val="24"/>
            <w:szCs w:val="24"/>
          </w:rPr>
          <w:t>http://scielo.sld.cu/scielo.php?script=sci_arttext&amp;pid=S156131942014000100012&amp;lng=es&amp;tlng=es</w:t>
        </w:r>
      </w:hyperlink>
    </w:p>
    <w:p w14:paraId="000000B5" w14:textId="77777777" w:rsidR="00CC7271" w:rsidRDefault="00FD3F8A">
      <w:pPr>
        <w:widowControl w:val="0"/>
        <w:spacing w:line="360" w:lineRule="auto"/>
        <w:ind w:left="72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Gutiérrez, C. (2023). </w:t>
      </w:r>
      <w:r>
        <w:rPr>
          <w:rFonts w:ascii="Times New Roman" w:eastAsia="Times New Roman" w:hAnsi="Times New Roman" w:cs="Times New Roman"/>
          <w:i/>
          <w:sz w:val="24"/>
          <w:szCs w:val="24"/>
        </w:rPr>
        <w:t xml:space="preserve">La gamificación en el aula: </w:t>
      </w:r>
      <w:proofErr w:type="spellStart"/>
      <w:r>
        <w:rPr>
          <w:rFonts w:ascii="Times New Roman" w:eastAsia="Times New Roman" w:hAnsi="Times New Roman" w:cs="Times New Roman"/>
          <w:i/>
          <w:sz w:val="24"/>
          <w:szCs w:val="24"/>
        </w:rPr>
        <w:t>Breakout</w:t>
      </w:r>
      <w:proofErr w:type="spellEnd"/>
      <w:r>
        <w:rPr>
          <w:rFonts w:ascii="Times New Roman" w:eastAsia="Times New Roman" w:hAnsi="Times New Roman" w:cs="Times New Roman"/>
          <w:i/>
          <w:sz w:val="24"/>
          <w:szCs w:val="24"/>
        </w:rPr>
        <w:t xml:space="preserve"> como propuesta de intervención educativa en un aula de Educación Infantil.</w:t>
      </w:r>
      <w:r>
        <w:rPr>
          <w:rFonts w:ascii="Times New Roman" w:eastAsia="Times New Roman" w:hAnsi="Times New Roman" w:cs="Times New Roman"/>
          <w:sz w:val="24"/>
          <w:szCs w:val="24"/>
        </w:rPr>
        <w:t xml:space="preserve"> [Trabajo fin de grado, Universidad de Valladolid]. </w:t>
      </w:r>
      <w:proofErr w:type="spellStart"/>
      <w:r>
        <w:rPr>
          <w:rFonts w:ascii="Times New Roman" w:eastAsia="Times New Roman" w:hAnsi="Times New Roman" w:cs="Times New Roman"/>
          <w:sz w:val="24"/>
          <w:szCs w:val="24"/>
        </w:rPr>
        <w:t>Uvadoc</w:t>
      </w:r>
      <w:proofErr w:type="spellEnd"/>
      <w:r>
        <w:rPr>
          <w:rFonts w:ascii="Times New Roman" w:eastAsia="Times New Roman" w:hAnsi="Times New Roman" w:cs="Times New Roman"/>
          <w:sz w:val="24"/>
          <w:szCs w:val="24"/>
        </w:rPr>
        <w:t>.</w:t>
      </w:r>
      <w:r>
        <w:rPr>
          <w:rFonts w:ascii="Times New Roman" w:eastAsia="Times New Roman" w:hAnsi="Times New Roman" w:cs="Times New Roman"/>
          <w:color w:val="444746"/>
          <w:sz w:val="24"/>
          <w:szCs w:val="24"/>
        </w:rPr>
        <w:t xml:space="preserve"> </w:t>
      </w:r>
      <w:hyperlink r:id="rId28">
        <w:r>
          <w:rPr>
            <w:rFonts w:ascii="Times New Roman" w:eastAsia="Times New Roman" w:hAnsi="Times New Roman" w:cs="Times New Roman"/>
            <w:color w:val="0B57D0"/>
            <w:sz w:val="24"/>
            <w:szCs w:val="24"/>
          </w:rPr>
          <w:t>https://uvadoc.uva.es/handle/10324/59849</w:t>
        </w:r>
      </w:hyperlink>
    </w:p>
    <w:p w14:paraId="000000B6" w14:textId="77777777" w:rsidR="00CC7271" w:rsidRDefault="00FD3F8A">
      <w:pPr>
        <w:widowControl w:val="0"/>
        <w:spacing w:line="360" w:lineRule="auto"/>
        <w:ind w:left="72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Hernández, R., Fernández, C., y Baptista, M. P. (2010). </w:t>
      </w:r>
      <w:r>
        <w:rPr>
          <w:rFonts w:ascii="Times New Roman" w:eastAsia="Times New Roman" w:hAnsi="Times New Roman" w:cs="Times New Roman"/>
          <w:i/>
          <w:sz w:val="24"/>
          <w:szCs w:val="24"/>
        </w:rPr>
        <w:t>Metodología de la investigación</w:t>
      </w:r>
      <w:r>
        <w:rPr>
          <w:rFonts w:ascii="Times New Roman" w:eastAsia="Times New Roman" w:hAnsi="Times New Roman" w:cs="Times New Roman"/>
          <w:sz w:val="24"/>
          <w:szCs w:val="24"/>
        </w:rPr>
        <w:t xml:space="preserve"> (5ª </w:t>
      </w:r>
      <w:proofErr w:type="spellStart"/>
      <w:r>
        <w:rPr>
          <w:rFonts w:ascii="Times New Roman" w:eastAsia="Times New Roman" w:hAnsi="Times New Roman" w:cs="Times New Roman"/>
          <w:sz w:val="24"/>
          <w:szCs w:val="24"/>
        </w:rPr>
        <w:t>ed</w:t>
      </w:r>
      <w:proofErr w:type="spellEnd"/>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lastRenderedPageBreak/>
        <w:t>Mc Graw Hill.</w:t>
      </w:r>
    </w:p>
    <w:p w14:paraId="000000B7" w14:textId="77777777" w:rsidR="00CC7271" w:rsidRPr="00FD3F8A" w:rsidRDefault="00FD3F8A">
      <w:pPr>
        <w:widowControl w:val="0"/>
        <w:spacing w:line="360" w:lineRule="auto"/>
        <w:ind w:left="720" w:hanging="720"/>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 xml:space="preserve">Johnson, D.W. (2009). Una historia de éxito en psicología educativa: teoría de la interdependencia social y el aprendizaje cooperativo. </w:t>
      </w:r>
      <w:r w:rsidRPr="00FD3F8A">
        <w:rPr>
          <w:rFonts w:ascii="Times New Roman" w:eastAsia="Times New Roman" w:hAnsi="Times New Roman" w:cs="Times New Roman"/>
          <w:i/>
          <w:sz w:val="24"/>
          <w:szCs w:val="24"/>
          <w:lang w:val="en-US"/>
        </w:rPr>
        <w:t>Educational Researcher, 38</w:t>
      </w:r>
      <w:r w:rsidRPr="00FD3F8A">
        <w:rPr>
          <w:rFonts w:ascii="Times New Roman" w:eastAsia="Times New Roman" w:hAnsi="Times New Roman" w:cs="Times New Roman"/>
          <w:sz w:val="24"/>
          <w:szCs w:val="24"/>
          <w:lang w:val="en-US"/>
        </w:rPr>
        <w:t xml:space="preserve">(5), 365-379. </w:t>
      </w:r>
      <w:hyperlink r:id="rId29">
        <w:r w:rsidRPr="00FD3F8A">
          <w:rPr>
            <w:rFonts w:ascii="Times New Roman" w:eastAsia="Times New Roman" w:hAnsi="Times New Roman" w:cs="Times New Roman"/>
            <w:color w:val="1155CC"/>
            <w:sz w:val="24"/>
            <w:szCs w:val="24"/>
            <w:u w:val="single"/>
            <w:lang w:val="en-US"/>
          </w:rPr>
          <w:t>https://doi.org/10.3102/0013189x09339057</w:t>
        </w:r>
      </w:hyperlink>
    </w:p>
    <w:p w14:paraId="000000B8" w14:textId="77777777" w:rsidR="00CC7271" w:rsidRDefault="00FD3F8A">
      <w:pPr>
        <w:widowControl w:val="0"/>
        <w:spacing w:line="360" w:lineRule="auto"/>
        <w:ind w:left="720" w:hanging="720"/>
        <w:jc w:val="both"/>
        <w:rPr>
          <w:rFonts w:ascii="Times New Roman" w:eastAsia="Times New Roman" w:hAnsi="Times New Roman" w:cs="Times New Roman"/>
          <w:sz w:val="24"/>
          <w:szCs w:val="24"/>
        </w:rPr>
      </w:pPr>
      <w:r w:rsidRPr="00FD3F8A">
        <w:rPr>
          <w:rFonts w:ascii="Times New Roman" w:eastAsia="Times New Roman" w:hAnsi="Times New Roman" w:cs="Times New Roman"/>
          <w:sz w:val="24"/>
          <w:szCs w:val="24"/>
          <w:lang w:val="en-US"/>
        </w:rPr>
        <w:t xml:space="preserve">Kumar, S., </w:t>
      </w:r>
      <w:proofErr w:type="spellStart"/>
      <w:r w:rsidRPr="00FD3F8A">
        <w:rPr>
          <w:rFonts w:ascii="Times New Roman" w:eastAsia="Times New Roman" w:hAnsi="Times New Roman" w:cs="Times New Roman"/>
          <w:sz w:val="24"/>
          <w:szCs w:val="24"/>
          <w:lang w:val="en-US"/>
        </w:rPr>
        <w:t>Vuppalapati</w:t>
      </w:r>
      <w:proofErr w:type="spellEnd"/>
      <w:r w:rsidRPr="00FD3F8A">
        <w:rPr>
          <w:rFonts w:ascii="Times New Roman" w:eastAsia="Times New Roman" w:hAnsi="Times New Roman" w:cs="Times New Roman"/>
          <w:sz w:val="24"/>
          <w:szCs w:val="24"/>
          <w:lang w:val="en-US"/>
        </w:rPr>
        <w:t xml:space="preserve">, S., Reddy, A. y </w:t>
      </w:r>
      <w:proofErr w:type="spellStart"/>
      <w:r w:rsidRPr="00FD3F8A">
        <w:rPr>
          <w:rFonts w:ascii="Times New Roman" w:eastAsia="Times New Roman" w:hAnsi="Times New Roman" w:cs="Times New Roman"/>
          <w:sz w:val="24"/>
          <w:szCs w:val="24"/>
          <w:lang w:val="en-US"/>
        </w:rPr>
        <w:t>Sreenivasulu</w:t>
      </w:r>
      <w:proofErr w:type="spellEnd"/>
      <w:r w:rsidRPr="00FD3F8A">
        <w:rPr>
          <w:rFonts w:ascii="Times New Roman" w:eastAsia="Times New Roman" w:hAnsi="Times New Roman" w:cs="Times New Roman"/>
          <w:sz w:val="24"/>
          <w:szCs w:val="24"/>
          <w:lang w:val="en-US"/>
        </w:rPr>
        <w:t xml:space="preserve">, H. (2023). Effects of Excessive Screen Time on Child Development: An Updated Review and Strategies for Management. </w:t>
      </w:r>
      <w:proofErr w:type="spellStart"/>
      <w:r>
        <w:rPr>
          <w:rFonts w:ascii="Times New Roman" w:eastAsia="Times New Roman" w:hAnsi="Times New Roman" w:cs="Times New Roman"/>
          <w:i/>
          <w:sz w:val="24"/>
          <w:szCs w:val="24"/>
        </w:rPr>
        <w:t>Cureus</w:t>
      </w:r>
      <w:proofErr w:type="spellEnd"/>
      <w:r>
        <w:rPr>
          <w:rFonts w:ascii="Times New Roman" w:eastAsia="Times New Roman" w:hAnsi="Times New Roman" w:cs="Times New Roman"/>
          <w:i/>
          <w:sz w:val="24"/>
          <w:szCs w:val="24"/>
        </w:rPr>
        <w:t>, 15</w:t>
      </w:r>
      <w:r>
        <w:rPr>
          <w:rFonts w:ascii="Times New Roman" w:eastAsia="Times New Roman" w:hAnsi="Times New Roman" w:cs="Times New Roman"/>
          <w:sz w:val="24"/>
          <w:szCs w:val="24"/>
        </w:rPr>
        <w:t xml:space="preserve">(6), e40608. </w:t>
      </w:r>
    </w:p>
    <w:p w14:paraId="000000B9" w14:textId="77777777" w:rsidR="00CC7271" w:rsidRDefault="00FD3F8A">
      <w:pPr>
        <w:widowControl w:val="0"/>
        <w:spacing w:line="360" w:lineRule="auto"/>
        <w:ind w:left="72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 xml:space="preserve">Larios, E. (2017). Educación en Valores. </w:t>
      </w:r>
      <w:r>
        <w:rPr>
          <w:rFonts w:ascii="Times New Roman" w:eastAsia="Times New Roman" w:hAnsi="Times New Roman" w:cs="Times New Roman"/>
          <w:i/>
          <w:sz w:val="24"/>
          <w:szCs w:val="24"/>
          <w:highlight w:val="white"/>
        </w:rPr>
        <w:t>Revista Raites,3</w:t>
      </w:r>
      <w:r>
        <w:rPr>
          <w:rFonts w:ascii="Times New Roman" w:eastAsia="Times New Roman" w:hAnsi="Times New Roman" w:cs="Times New Roman"/>
          <w:sz w:val="24"/>
          <w:szCs w:val="24"/>
          <w:highlight w:val="white"/>
        </w:rPr>
        <w:t xml:space="preserve">(6), 87. </w:t>
      </w:r>
      <w:hyperlink r:id="rId30">
        <w:r>
          <w:rPr>
            <w:rFonts w:ascii="Times New Roman" w:eastAsia="Times New Roman" w:hAnsi="Times New Roman" w:cs="Times New Roman"/>
            <w:color w:val="0B57D0"/>
            <w:sz w:val="24"/>
            <w:szCs w:val="24"/>
            <w:highlight w:val="white"/>
          </w:rPr>
          <w:t>https://pistaseducativas.celaya.tecnm</w:t>
        </w:r>
      </w:hyperlink>
    </w:p>
    <w:p w14:paraId="000000BA" w14:textId="77777777" w:rsidR="00CC7271" w:rsidRDefault="00FD3F8A">
      <w:pPr>
        <w:widowControl w:val="0"/>
        <w:spacing w:line="360" w:lineRule="auto"/>
        <w:ind w:left="720" w:hanging="720"/>
        <w:jc w:val="both"/>
        <w:rPr>
          <w:rFonts w:ascii="Times New Roman" w:eastAsia="Times New Roman" w:hAnsi="Times New Roman" w:cs="Times New Roman"/>
          <w:color w:val="444746"/>
          <w:sz w:val="24"/>
          <w:szCs w:val="24"/>
        </w:rPr>
      </w:pPr>
      <w:proofErr w:type="spellStart"/>
      <w:r w:rsidRPr="00FD3F8A">
        <w:rPr>
          <w:rFonts w:ascii="Times New Roman" w:eastAsia="Times New Roman" w:hAnsi="Times New Roman" w:cs="Times New Roman"/>
          <w:sz w:val="24"/>
          <w:szCs w:val="24"/>
          <w:lang w:val="en-US"/>
        </w:rPr>
        <w:t>Lissak</w:t>
      </w:r>
      <w:proofErr w:type="spellEnd"/>
      <w:r w:rsidRPr="00FD3F8A">
        <w:rPr>
          <w:rFonts w:ascii="Times New Roman" w:eastAsia="Times New Roman" w:hAnsi="Times New Roman" w:cs="Times New Roman"/>
          <w:sz w:val="24"/>
          <w:szCs w:val="24"/>
          <w:lang w:val="en-US"/>
        </w:rPr>
        <w:t xml:space="preserve">, G. (2018). Adverse physiological and psychological effects of screen time on children and adolescents: literature review and case study. </w:t>
      </w:r>
      <w:proofErr w:type="spellStart"/>
      <w:r>
        <w:rPr>
          <w:rFonts w:ascii="Times New Roman" w:eastAsia="Times New Roman" w:hAnsi="Times New Roman" w:cs="Times New Roman"/>
          <w:i/>
          <w:sz w:val="24"/>
          <w:szCs w:val="24"/>
        </w:rPr>
        <w:t>Environmental</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Research</w:t>
      </w:r>
      <w:proofErr w:type="spellEnd"/>
      <w:r>
        <w:rPr>
          <w:rFonts w:ascii="Times New Roman" w:eastAsia="Times New Roman" w:hAnsi="Times New Roman" w:cs="Times New Roman"/>
          <w:i/>
          <w:sz w:val="24"/>
          <w:szCs w:val="24"/>
        </w:rPr>
        <w:t>, 164,</w:t>
      </w:r>
      <w:r>
        <w:rPr>
          <w:rFonts w:ascii="Times New Roman" w:eastAsia="Times New Roman" w:hAnsi="Times New Roman" w:cs="Times New Roman"/>
          <w:sz w:val="24"/>
          <w:szCs w:val="24"/>
        </w:rPr>
        <w:t xml:space="preserve"> 149-157. </w:t>
      </w:r>
      <w:hyperlink r:id="rId31">
        <w:r>
          <w:rPr>
            <w:rFonts w:ascii="Times New Roman" w:eastAsia="Times New Roman" w:hAnsi="Times New Roman" w:cs="Times New Roman"/>
            <w:color w:val="0B57D0"/>
            <w:sz w:val="24"/>
            <w:szCs w:val="24"/>
          </w:rPr>
          <w:t>https://doi.org/10.1016/j.envres.2018.01.015</w:t>
        </w:r>
      </w:hyperlink>
    </w:p>
    <w:p w14:paraId="000000BB" w14:textId="77777777" w:rsidR="00CC7271" w:rsidRDefault="00FD3F8A">
      <w:pPr>
        <w:widowControl w:val="0"/>
        <w:spacing w:after="200" w:line="360" w:lineRule="auto"/>
        <w:ind w:left="720" w:hanging="720"/>
        <w:jc w:val="both"/>
        <w:rPr>
          <w:rFonts w:ascii="Times New Roman" w:eastAsia="Times New Roman" w:hAnsi="Times New Roman" w:cs="Times New Roman"/>
          <w:color w:val="444746"/>
          <w:sz w:val="24"/>
          <w:szCs w:val="24"/>
        </w:rPr>
      </w:pPr>
      <w:r>
        <w:rPr>
          <w:rFonts w:ascii="Times New Roman" w:eastAsia="Times New Roman" w:hAnsi="Times New Roman" w:cs="Times New Roman"/>
          <w:sz w:val="24"/>
          <w:szCs w:val="24"/>
        </w:rPr>
        <w:t xml:space="preserve">López, M. (2019). </w:t>
      </w:r>
      <w:r>
        <w:rPr>
          <w:rFonts w:ascii="Times New Roman" w:eastAsia="Times New Roman" w:hAnsi="Times New Roman" w:cs="Times New Roman"/>
          <w:i/>
          <w:sz w:val="24"/>
          <w:szCs w:val="24"/>
        </w:rPr>
        <w:t xml:space="preserve">El uso del </w:t>
      </w:r>
      <w:proofErr w:type="spellStart"/>
      <w:r>
        <w:rPr>
          <w:rFonts w:ascii="Times New Roman" w:eastAsia="Times New Roman" w:hAnsi="Times New Roman" w:cs="Times New Roman"/>
          <w:i/>
          <w:sz w:val="24"/>
          <w:szCs w:val="24"/>
        </w:rPr>
        <w:t>Breakout</w:t>
      </w:r>
      <w:proofErr w:type="spellEnd"/>
      <w:r>
        <w:rPr>
          <w:rFonts w:ascii="Times New Roman" w:eastAsia="Times New Roman" w:hAnsi="Times New Roman" w:cs="Times New Roman"/>
          <w:i/>
          <w:sz w:val="24"/>
          <w:szCs w:val="24"/>
        </w:rPr>
        <w:t xml:space="preserve"> en Educación Primaria</w:t>
      </w:r>
      <w:r>
        <w:rPr>
          <w:rFonts w:ascii="Times New Roman" w:eastAsia="Times New Roman" w:hAnsi="Times New Roman" w:cs="Times New Roman"/>
          <w:sz w:val="24"/>
          <w:szCs w:val="24"/>
        </w:rPr>
        <w:t xml:space="preserve">. </w:t>
      </w:r>
      <w:r w:rsidRPr="00FD3F8A">
        <w:rPr>
          <w:rFonts w:ascii="Times New Roman" w:eastAsia="Times New Roman" w:hAnsi="Times New Roman" w:cs="Times New Roman"/>
          <w:sz w:val="24"/>
          <w:szCs w:val="24"/>
          <w:lang w:val="en-US"/>
        </w:rPr>
        <w:t>[</w:t>
      </w:r>
      <w:proofErr w:type="spellStart"/>
      <w:r w:rsidRPr="00FD3F8A">
        <w:rPr>
          <w:rFonts w:ascii="Times New Roman" w:eastAsia="Times New Roman" w:hAnsi="Times New Roman" w:cs="Times New Roman"/>
          <w:sz w:val="24"/>
          <w:szCs w:val="24"/>
          <w:lang w:val="en-US"/>
        </w:rPr>
        <w:t>Actas</w:t>
      </w:r>
      <w:proofErr w:type="spellEnd"/>
      <w:r w:rsidRPr="00FD3F8A">
        <w:rPr>
          <w:rFonts w:ascii="Times New Roman" w:eastAsia="Times New Roman" w:hAnsi="Times New Roman" w:cs="Times New Roman"/>
          <w:sz w:val="24"/>
          <w:szCs w:val="24"/>
          <w:lang w:val="en-US"/>
        </w:rPr>
        <w:t xml:space="preserve"> de </w:t>
      </w:r>
      <w:proofErr w:type="spellStart"/>
      <w:r w:rsidRPr="00FD3F8A">
        <w:rPr>
          <w:rFonts w:ascii="Times New Roman" w:eastAsia="Times New Roman" w:hAnsi="Times New Roman" w:cs="Times New Roman"/>
          <w:sz w:val="24"/>
          <w:szCs w:val="24"/>
          <w:lang w:val="en-US"/>
        </w:rPr>
        <w:t>congreso</w:t>
      </w:r>
      <w:proofErr w:type="spellEnd"/>
      <w:r w:rsidRPr="00FD3F8A">
        <w:rPr>
          <w:rFonts w:ascii="Times New Roman" w:eastAsia="Times New Roman" w:hAnsi="Times New Roman" w:cs="Times New Roman"/>
          <w:sz w:val="24"/>
          <w:szCs w:val="24"/>
          <w:lang w:val="en-US"/>
        </w:rPr>
        <w:t xml:space="preserve">]. 3rd International Virtual Conference on Educational Research and Innovation. </w:t>
      </w:r>
      <w:hyperlink r:id="rId32">
        <w:r>
          <w:rPr>
            <w:rFonts w:ascii="Times New Roman" w:eastAsia="Times New Roman" w:hAnsi="Times New Roman" w:cs="Times New Roman"/>
            <w:color w:val="1155CC"/>
            <w:sz w:val="24"/>
            <w:szCs w:val="24"/>
            <w:u w:val="single"/>
          </w:rPr>
          <w:t>https://dialnet.unirioja.es/servlet/libro?codigo=746552&amp;orden=0&amp;info=open_link_libro</w:t>
        </w:r>
      </w:hyperlink>
    </w:p>
    <w:p w14:paraId="000000BC" w14:textId="77777777" w:rsidR="00CC7271" w:rsidRDefault="00FD3F8A">
      <w:pPr>
        <w:widowControl w:val="0"/>
        <w:spacing w:after="200" w:line="360" w:lineRule="auto"/>
        <w:ind w:left="720" w:hanging="720"/>
        <w:jc w:val="both"/>
        <w:rPr>
          <w:rFonts w:ascii="Times New Roman" w:eastAsia="Times New Roman" w:hAnsi="Times New Roman" w:cs="Times New Roman"/>
          <w:color w:val="444746"/>
          <w:sz w:val="24"/>
          <w:szCs w:val="24"/>
        </w:rPr>
      </w:pPr>
      <w:r>
        <w:rPr>
          <w:rFonts w:ascii="Times New Roman" w:eastAsia="Times New Roman" w:hAnsi="Times New Roman" w:cs="Times New Roman"/>
          <w:sz w:val="24"/>
          <w:szCs w:val="24"/>
        </w:rPr>
        <w:t xml:space="preserve">Lucena, I. (2019). </w:t>
      </w:r>
      <w:r>
        <w:rPr>
          <w:rFonts w:ascii="Times New Roman" w:eastAsia="Times New Roman" w:hAnsi="Times New Roman" w:cs="Times New Roman"/>
          <w:i/>
          <w:sz w:val="24"/>
          <w:szCs w:val="24"/>
        </w:rPr>
        <w:t>Los grupos y equipos de trabajo.</w:t>
      </w:r>
      <w:r>
        <w:rPr>
          <w:rFonts w:ascii="Times New Roman" w:eastAsia="Times New Roman" w:hAnsi="Times New Roman" w:cs="Times New Roman"/>
          <w:sz w:val="24"/>
          <w:szCs w:val="24"/>
        </w:rPr>
        <w:t xml:space="preserve"> [Trabajo Fin de Máster, Universidad de Jaén]. </w:t>
      </w:r>
      <w:proofErr w:type="spellStart"/>
      <w:r>
        <w:rPr>
          <w:rFonts w:ascii="Times New Roman" w:eastAsia="Times New Roman" w:hAnsi="Times New Roman" w:cs="Times New Roman"/>
          <w:sz w:val="24"/>
          <w:szCs w:val="24"/>
        </w:rPr>
        <w:t>CREA.Ujaen</w:t>
      </w:r>
      <w:proofErr w:type="spellEnd"/>
      <w:r>
        <w:rPr>
          <w:rFonts w:ascii="Times New Roman" w:eastAsia="Times New Roman" w:hAnsi="Times New Roman" w:cs="Times New Roman"/>
          <w:sz w:val="24"/>
          <w:szCs w:val="24"/>
        </w:rPr>
        <w:t xml:space="preserve"> </w:t>
      </w:r>
      <w:hyperlink r:id="rId33">
        <w:r>
          <w:rPr>
            <w:rFonts w:ascii="Times New Roman" w:eastAsia="Times New Roman" w:hAnsi="Times New Roman" w:cs="Times New Roman"/>
            <w:color w:val="0B57D0"/>
            <w:sz w:val="24"/>
            <w:szCs w:val="24"/>
          </w:rPr>
          <w:t>https://crea.ujaen.es/bitstream/10953.1/8862/1/LUCENA_FERNNDEZ_ISABEL_TFM_FOL.pdf</w:t>
        </w:r>
      </w:hyperlink>
    </w:p>
    <w:p w14:paraId="000000BD" w14:textId="77777777" w:rsidR="00CC7271" w:rsidRDefault="00FD3F8A">
      <w:pPr>
        <w:widowControl w:val="0"/>
        <w:spacing w:after="200" w:line="360" w:lineRule="auto"/>
        <w:ind w:left="720" w:hanging="720"/>
        <w:jc w:val="both"/>
        <w:rPr>
          <w:rFonts w:ascii="Times New Roman" w:eastAsia="Times New Roman" w:hAnsi="Times New Roman" w:cs="Times New Roman"/>
          <w:color w:val="444746"/>
          <w:sz w:val="24"/>
          <w:szCs w:val="24"/>
        </w:rPr>
      </w:pPr>
      <w:r>
        <w:rPr>
          <w:rFonts w:ascii="Times New Roman" w:eastAsia="Times New Roman" w:hAnsi="Times New Roman" w:cs="Times New Roman"/>
          <w:sz w:val="24"/>
          <w:szCs w:val="24"/>
        </w:rPr>
        <w:t xml:space="preserve">Martínez, M. E. (2021). Aprendizaje Cooperativo como Técnica de Conocimiento y Experiencia Socioeducativa. </w:t>
      </w:r>
      <w:r>
        <w:rPr>
          <w:rFonts w:ascii="Times New Roman" w:eastAsia="Times New Roman" w:hAnsi="Times New Roman" w:cs="Times New Roman"/>
          <w:i/>
          <w:sz w:val="24"/>
          <w:szCs w:val="24"/>
        </w:rPr>
        <w:t>Ciencia Latina Revista Científica Multidisciplinar, 5</w:t>
      </w:r>
      <w:r>
        <w:rPr>
          <w:rFonts w:ascii="Times New Roman" w:eastAsia="Times New Roman" w:hAnsi="Times New Roman" w:cs="Times New Roman"/>
          <w:sz w:val="24"/>
          <w:szCs w:val="24"/>
        </w:rPr>
        <w:t xml:space="preserve">(2), </w:t>
      </w:r>
      <w:hyperlink r:id="rId34">
        <w:r>
          <w:rPr>
            <w:rFonts w:ascii="Times New Roman" w:eastAsia="Times New Roman" w:hAnsi="Times New Roman" w:cs="Times New Roman"/>
            <w:color w:val="0B57D0"/>
            <w:sz w:val="24"/>
            <w:szCs w:val="24"/>
          </w:rPr>
          <w:t>https://doi.org/10.37811/cl_rcm.v5i2.383</w:t>
        </w:r>
      </w:hyperlink>
    </w:p>
    <w:p w14:paraId="000000BE" w14:textId="77777777" w:rsidR="00CC7271" w:rsidRDefault="00FD3F8A">
      <w:pPr>
        <w:widowControl w:val="0"/>
        <w:spacing w:after="200" w:line="360" w:lineRule="auto"/>
        <w:ind w:left="720" w:hanging="720"/>
        <w:jc w:val="both"/>
        <w:rPr>
          <w:rFonts w:ascii="Times New Roman" w:eastAsia="Times New Roman" w:hAnsi="Times New Roman" w:cs="Times New Roman"/>
          <w:sz w:val="24"/>
          <w:szCs w:val="24"/>
        </w:rPr>
      </w:pPr>
      <w:r>
        <w:rPr>
          <w:rFonts w:ascii="Times New Roman" w:eastAsia="Times New Roman" w:hAnsi="Times New Roman" w:cs="Times New Roman"/>
          <w:color w:val="444746"/>
          <w:sz w:val="24"/>
          <w:szCs w:val="24"/>
        </w:rPr>
        <w:lastRenderedPageBreak/>
        <w:t xml:space="preserve">Moliner, O., Sanahuja, A., y Benet, A. (2017). Prácticas inclusivas en el aula desde la investigación-acción. </w:t>
      </w:r>
      <w:r>
        <w:rPr>
          <w:rFonts w:ascii="Times New Roman" w:eastAsia="Times New Roman" w:hAnsi="Times New Roman" w:cs="Times New Roman"/>
          <w:i/>
          <w:color w:val="444746"/>
          <w:sz w:val="24"/>
          <w:szCs w:val="24"/>
        </w:rPr>
        <w:t xml:space="preserve">Colección </w:t>
      </w:r>
      <w:proofErr w:type="spellStart"/>
      <w:r>
        <w:rPr>
          <w:rFonts w:ascii="Times New Roman" w:eastAsia="Times New Roman" w:hAnsi="Times New Roman" w:cs="Times New Roman"/>
          <w:i/>
          <w:color w:val="444746"/>
          <w:sz w:val="24"/>
          <w:szCs w:val="24"/>
        </w:rPr>
        <w:t>Sapientia</w:t>
      </w:r>
      <w:proofErr w:type="spellEnd"/>
      <w:r>
        <w:rPr>
          <w:rFonts w:ascii="Times New Roman" w:eastAsia="Times New Roman" w:hAnsi="Times New Roman" w:cs="Times New Roman"/>
          <w:i/>
          <w:color w:val="444746"/>
          <w:sz w:val="24"/>
          <w:szCs w:val="24"/>
        </w:rPr>
        <w:t>, 127</w:t>
      </w:r>
      <w:r>
        <w:rPr>
          <w:rFonts w:ascii="Times New Roman" w:eastAsia="Times New Roman" w:hAnsi="Times New Roman" w:cs="Times New Roman"/>
          <w:color w:val="444746"/>
          <w:sz w:val="24"/>
          <w:szCs w:val="24"/>
        </w:rPr>
        <w:t xml:space="preserve">, 35-56. </w:t>
      </w:r>
      <w:hyperlink r:id="rId35">
        <w:r>
          <w:rPr>
            <w:rFonts w:ascii="Times New Roman" w:eastAsia="Times New Roman" w:hAnsi="Times New Roman" w:cs="Times New Roman"/>
            <w:color w:val="0B57D0"/>
            <w:sz w:val="24"/>
            <w:szCs w:val="24"/>
          </w:rPr>
          <w:t>https://doi.org/10.6035/Sapientia127</w:t>
        </w:r>
      </w:hyperlink>
    </w:p>
    <w:p w14:paraId="000000BF" w14:textId="77777777" w:rsidR="00CC7271" w:rsidRPr="00FD3F8A" w:rsidRDefault="00FD3F8A">
      <w:pPr>
        <w:widowControl w:val="0"/>
        <w:spacing w:line="360" w:lineRule="auto"/>
        <w:ind w:left="720"/>
        <w:jc w:val="both"/>
        <w:rPr>
          <w:rFonts w:ascii="Times New Roman" w:eastAsia="Times New Roman" w:hAnsi="Times New Roman" w:cs="Times New Roman"/>
          <w:sz w:val="24"/>
          <w:szCs w:val="24"/>
          <w:lang w:val="en-US"/>
        </w:rPr>
      </w:pPr>
      <w:proofErr w:type="spellStart"/>
      <w:r>
        <w:rPr>
          <w:rFonts w:ascii="Times New Roman" w:eastAsia="Times New Roman" w:hAnsi="Times New Roman" w:cs="Times New Roman"/>
          <w:sz w:val="24"/>
          <w:szCs w:val="24"/>
        </w:rPr>
        <w:t>Mondi</w:t>
      </w:r>
      <w:proofErr w:type="spellEnd"/>
      <w:r>
        <w:rPr>
          <w:rFonts w:ascii="Times New Roman" w:eastAsia="Times New Roman" w:hAnsi="Times New Roman" w:cs="Times New Roman"/>
          <w:sz w:val="24"/>
          <w:szCs w:val="24"/>
        </w:rPr>
        <w:t xml:space="preserve">, C.F., </w:t>
      </w:r>
      <w:proofErr w:type="spellStart"/>
      <w:r>
        <w:rPr>
          <w:rFonts w:ascii="Times New Roman" w:eastAsia="Times New Roman" w:hAnsi="Times New Roman" w:cs="Times New Roman"/>
          <w:sz w:val="24"/>
          <w:szCs w:val="24"/>
        </w:rPr>
        <w:t>Giovanelli</w:t>
      </w:r>
      <w:proofErr w:type="spellEnd"/>
      <w:r>
        <w:rPr>
          <w:rFonts w:ascii="Times New Roman" w:eastAsia="Times New Roman" w:hAnsi="Times New Roman" w:cs="Times New Roman"/>
          <w:sz w:val="24"/>
          <w:szCs w:val="24"/>
        </w:rPr>
        <w:t xml:space="preserve">, A. y Reynolds, A. (2021). </w:t>
      </w:r>
      <w:r w:rsidRPr="00FD3F8A">
        <w:rPr>
          <w:rFonts w:ascii="Times New Roman" w:eastAsia="Times New Roman" w:hAnsi="Times New Roman" w:cs="Times New Roman"/>
          <w:sz w:val="24"/>
          <w:szCs w:val="24"/>
          <w:lang w:val="en-US"/>
        </w:rPr>
        <w:t xml:space="preserve">Fostering socio-emotional learning through early childhood intervention. </w:t>
      </w:r>
      <w:r w:rsidRPr="00FD3F8A">
        <w:rPr>
          <w:rFonts w:ascii="Times New Roman" w:eastAsia="Times New Roman" w:hAnsi="Times New Roman" w:cs="Times New Roman"/>
          <w:i/>
          <w:sz w:val="24"/>
          <w:szCs w:val="24"/>
          <w:lang w:val="en-US"/>
        </w:rPr>
        <w:t>International Journal of Child Care and Education Policy, 15</w:t>
      </w:r>
      <w:r w:rsidRPr="00FD3F8A">
        <w:rPr>
          <w:rFonts w:ascii="Times New Roman" w:eastAsia="Times New Roman" w:hAnsi="Times New Roman" w:cs="Times New Roman"/>
          <w:sz w:val="24"/>
          <w:szCs w:val="24"/>
          <w:lang w:val="en-US"/>
        </w:rPr>
        <w:t xml:space="preserve">(6), 1-43. </w:t>
      </w:r>
      <w:hyperlink r:id="rId36">
        <w:r w:rsidRPr="00FD3F8A">
          <w:rPr>
            <w:rFonts w:ascii="Times New Roman" w:eastAsia="Times New Roman" w:hAnsi="Times New Roman" w:cs="Times New Roman"/>
            <w:color w:val="1155CC"/>
            <w:sz w:val="24"/>
            <w:szCs w:val="24"/>
            <w:u w:val="single"/>
            <w:lang w:val="en-US"/>
          </w:rPr>
          <w:t>https://doi.org/10.1186/s40723-021-00084-8</w:t>
        </w:r>
      </w:hyperlink>
    </w:p>
    <w:p w14:paraId="000000C0" w14:textId="77777777" w:rsidR="00CC7271" w:rsidRDefault="00FD3F8A">
      <w:pPr>
        <w:widowControl w:val="0"/>
        <w:spacing w:line="360" w:lineRule="auto"/>
        <w:ind w:left="72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Moreno, E. y </w:t>
      </w:r>
      <w:proofErr w:type="spellStart"/>
      <w:r>
        <w:rPr>
          <w:rFonts w:ascii="Times New Roman" w:eastAsia="Times New Roman" w:hAnsi="Times New Roman" w:cs="Times New Roman"/>
          <w:sz w:val="24"/>
          <w:szCs w:val="24"/>
        </w:rPr>
        <w:t>Lopezosa</w:t>
      </w:r>
      <w:proofErr w:type="spellEnd"/>
      <w:r>
        <w:rPr>
          <w:rFonts w:ascii="Times New Roman" w:eastAsia="Times New Roman" w:hAnsi="Times New Roman" w:cs="Times New Roman"/>
          <w:sz w:val="24"/>
          <w:szCs w:val="24"/>
        </w:rPr>
        <w:t xml:space="preserve">, M.D. (2020). Gamificación a través de un proyecto de aprendizaje-servicio: diseñando un </w:t>
      </w:r>
      <w:proofErr w:type="spellStart"/>
      <w:r>
        <w:rPr>
          <w:rFonts w:ascii="Times New Roman" w:eastAsia="Times New Roman" w:hAnsi="Times New Roman" w:cs="Times New Roman"/>
          <w:sz w:val="24"/>
          <w:szCs w:val="24"/>
        </w:rPr>
        <w:t>Breakout</w:t>
      </w:r>
      <w:proofErr w:type="spellEnd"/>
      <w:r>
        <w:rPr>
          <w:rFonts w:ascii="Times New Roman" w:eastAsia="Times New Roman" w:hAnsi="Times New Roman" w:cs="Times New Roman"/>
          <w:sz w:val="24"/>
          <w:szCs w:val="24"/>
        </w:rPr>
        <w:t xml:space="preserve"> educativo desde la universidad para el alumnado de primaria.  </w:t>
      </w:r>
      <w:r>
        <w:rPr>
          <w:rFonts w:ascii="Times New Roman" w:eastAsia="Times New Roman" w:hAnsi="Times New Roman" w:cs="Times New Roman"/>
          <w:i/>
          <w:sz w:val="24"/>
          <w:szCs w:val="24"/>
        </w:rPr>
        <w:t>Revista científica electrónica de Educación y Comunicación en la Sociedad del Conocimiento, 20</w:t>
      </w:r>
      <w:r>
        <w:rPr>
          <w:rFonts w:ascii="Times New Roman" w:eastAsia="Times New Roman" w:hAnsi="Times New Roman" w:cs="Times New Roman"/>
          <w:sz w:val="24"/>
          <w:szCs w:val="24"/>
        </w:rPr>
        <w:t xml:space="preserve">(1), 106-130. </w:t>
      </w:r>
      <w:hyperlink r:id="rId37">
        <w:r>
          <w:rPr>
            <w:rFonts w:ascii="Times New Roman" w:eastAsia="Times New Roman" w:hAnsi="Times New Roman" w:cs="Times New Roman"/>
            <w:color w:val="1155CC"/>
            <w:sz w:val="24"/>
            <w:szCs w:val="24"/>
            <w:u w:val="single"/>
          </w:rPr>
          <w:t>https://doi.org/10.30827/eticanet.v20i1.15524</w:t>
        </w:r>
      </w:hyperlink>
    </w:p>
    <w:p w14:paraId="000000C1" w14:textId="77777777" w:rsidR="00CC7271" w:rsidRPr="00FD3F8A" w:rsidRDefault="00FD3F8A">
      <w:pPr>
        <w:widowControl w:val="0"/>
        <w:spacing w:before="240" w:after="240" w:line="360" w:lineRule="auto"/>
        <w:ind w:left="567" w:hanging="567"/>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 xml:space="preserve">Negre, C. (27 de julio de 2017). </w:t>
      </w:r>
      <w:r>
        <w:rPr>
          <w:rFonts w:ascii="Times New Roman" w:eastAsia="Times New Roman" w:hAnsi="Times New Roman" w:cs="Times New Roman"/>
          <w:i/>
          <w:sz w:val="24"/>
          <w:szCs w:val="24"/>
        </w:rPr>
        <w:t>“</w:t>
      </w:r>
      <w:proofErr w:type="spellStart"/>
      <w:r>
        <w:rPr>
          <w:rFonts w:ascii="Times New Roman" w:eastAsia="Times New Roman" w:hAnsi="Times New Roman" w:cs="Times New Roman"/>
          <w:i/>
          <w:sz w:val="24"/>
          <w:szCs w:val="24"/>
        </w:rPr>
        <w:t>BreakoutEdu</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microgramificación</w:t>
      </w:r>
      <w:proofErr w:type="spellEnd"/>
      <w:r>
        <w:rPr>
          <w:rFonts w:ascii="Times New Roman" w:eastAsia="Times New Roman" w:hAnsi="Times New Roman" w:cs="Times New Roman"/>
          <w:i/>
          <w:sz w:val="24"/>
          <w:szCs w:val="24"/>
        </w:rPr>
        <w:t xml:space="preserve"> y aprendizaje significativo.</w:t>
      </w:r>
      <w:r>
        <w:rPr>
          <w:rFonts w:ascii="Times New Roman" w:eastAsia="Times New Roman" w:hAnsi="Times New Roman" w:cs="Times New Roman"/>
          <w:sz w:val="24"/>
          <w:szCs w:val="24"/>
        </w:rPr>
        <w:t xml:space="preserve"> </w:t>
      </w:r>
      <w:proofErr w:type="spellStart"/>
      <w:r w:rsidRPr="00FD3F8A">
        <w:rPr>
          <w:rFonts w:ascii="Times New Roman" w:eastAsia="Times New Roman" w:hAnsi="Times New Roman" w:cs="Times New Roman"/>
          <w:sz w:val="24"/>
          <w:szCs w:val="24"/>
          <w:lang w:val="en-US"/>
        </w:rPr>
        <w:t>Educaweb</w:t>
      </w:r>
      <w:proofErr w:type="spellEnd"/>
      <w:r w:rsidRPr="00FD3F8A">
        <w:rPr>
          <w:rFonts w:ascii="Times New Roman" w:eastAsia="Times New Roman" w:hAnsi="Times New Roman" w:cs="Times New Roman"/>
          <w:sz w:val="24"/>
          <w:szCs w:val="24"/>
          <w:lang w:val="en-US"/>
        </w:rPr>
        <w:t xml:space="preserve">. </w:t>
      </w:r>
      <w:hyperlink r:id="rId38">
        <w:r w:rsidRPr="00FD3F8A">
          <w:rPr>
            <w:rFonts w:ascii="Times New Roman" w:eastAsia="Times New Roman" w:hAnsi="Times New Roman" w:cs="Times New Roman"/>
            <w:sz w:val="24"/>
            <w:szCs w:val="24"/>
            <w:lang w:val="en-US"/>
          </w:rPr>
          <w:t xml:space="preserve"> </w:t>
        </w:r>
      </w:hyperlink>
      <w:hyperlink r:id="rId39">
        <w:r w:rsidRPr="00FD3F8A">
          <w:rPr>
            <w:rFonts w:ascii="Times New Roman" w:eastAsia="Times New Roman" w:hAnsi="Times New Roman" w:cs="Times New Roman"/>
            <w:color w:val="1155CC"/>
            <w:sz w:val="24"/>
            <w:szCs w:val="24"/>
            <w:u w:val="single"/>
            <w:lang w:val="en-US"/>
          </w:rPr>
          <w:t>https://www.educaweb.com/noticia/2017/07/26/breakoutedu-microgamificacion-aprendizaje-significativo-15068/</w:t>
        </w:r>
      </w:hyperlink>
    </w:p>
    <w:p w14:paraId="000000C2" w14:textId="77777777" w:rsidR="00CC7271" w:rsidRDefault="00FD3F8A">
      <w:pPr>
        <w:widowControl w:val="0"/>
        <w:spacing w:before="240" w:after="240" w:line="360" w:lineRule="auto"/>
        <w:ind w:left="567" w:hanging="567"/>
        <w:jc w:val="both"/>
        <w:rPr>
          <w:rFonts w:ascii="Times New Roman" w:eastAsia="Times New Roman" w:hAnsi="Times New Roman" w:cs="Times New Roman"/>
          <w:sz w:val="24"/>
          <w:szCs w:val="24"/>
        </w:rPr>
      </w:pPr>
      <w:r w:rsidRPr="00FD3F8A">
        <w:rPr>
          <w:rFonts w:ascii="Times New Roman" w:eastAsia="Times New Roman" w:hAnsi="Times New Roman" w:cs="Times New Roman"/>
          <w:sz w:val="24"/>
          <w:szCs w:val="24"/>
          <w:lang w:val="en-US"/>
        </w:rPr>
        <w:t xml:space="preserve">Nicholson, S. (2018). Creating engaging escape rooms for the classroom. </w:t>
      </w:r>
      <w:proofErr w:type="spellStart"/>
      <w:r>
        <w:rPr>
          <w:rFonts w:ascii="Times New Roman" w:eastAsia="Times New Roman" w:hAnsi="Times New Roman" w:cs="Times New Roman"/>
          <w:i/>
          <w:sz w:val="24"/>
          <w:szCs w:val="24"/>
        </w:rPr>
        <w:t>Childhood</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Education</w:t>
      </w:r>
      <w:proofErr w:type="spellEnd"/>
      <w:r>
        <w:rPr>
          <w:rFonts w:ascii="Times New Roman" w:eastAsia="Times New Roman" w:hAnsi="Times New Roman" w:cs="Times New Roman"/>
          <w:i/>
          <w:sz w:val="24"/>
          <w:szCs w:val="24"/>
        </w:rPr>
        <w:t>, 94</w:t>
      </w:r>
      <w:r>
        <w:rPr>
          <w:rFonts w:ascii="Times New Roman" w:eastAsia="Times New Roman" w:hAnsi="Times New Roman" w:cs="Times New Roman"/>
          <w:sz w:val="24"/>
          <w:szCs w:val="24"/>
        </w:rPr>
        <w:t xml:space="preserve">(1), 44-49. </w:t>
      </w:r>
    </w:p>
    <w:p w14:paraId="000000C3" w14:textId="77777777" w:rsidR="00CC7271" w:rsidRDefault="00FD3F8A">
      <w:pPr>
        <w:widowControl w:val="0"/>
        <w:spacing w:after="200" w:line="360" w:lineRule="auto"/>
        <w:ind w:left="720" w:hanging="720"/>
        <w:jc w:val="both"/>
        <w:rPr>
          <w:rFonts w:ascii="Times New Roman" w:eastAsia="Times New Roman" w:hAnsi="Times New Roman" w:cs="Times New Roman"/>
          <w:color w:val="444746"/>
          <w:sz w:val="24"/>
          <w:szCs w:val="24"/>
        </w:rPr>
      </w:pPr>
      <w:r>
        <w:rPr>
          <w:rFonts w:ascii="Times New Roman" w:eastAsia="Times New Roman" w:hAnsi="Times New Roman" w:cs="Times New Roman"/>
          <w:sz w:val="24"/>
          <w:szCs w:val="24"/>
        </w:rPr>
        <w:t xml:space="preserve">Parejo, J. L., y </w:t>
      </w:r>
      <w:proofErr w:type="spellStart"/>
      <w:r>
        <w:rPr>
          <w:rFonts w:ascii="Times New Roman" w:eastAsia="Times New Roman" w:hAnsi="Times New Roman" w:cs="Times New Roman"/>
          <w:sz w:val="24"/>
          <w:szCs w:val="24"/>
        </w:rPr>
        <w:t>Etreros</w:t>
      </w:r>
      <w:proofErr w:type="spellEnd"/>
      <w:r>
        <w:rPr>
          <w:rFonts w:ascii="Times New Roman" w:eastAsia="Times New Roman" w:hAnsi="Times New Roman" w:cs="Times New Roman"/>
          <w:sz w:val="24"/>
          <w:szCs w:val="24"/>
        </w:rPr>
        <w:t xml:space="preserve">, M. (2020). “El misterio de la orquesta”: un </w:t>
      </w:r>
      <w:proofErr w:type="spellStart"/>
      <w:r>
        <w:rPr>
          <w:rFonts w:ascii="Times New Roman" w:eastAsia="Times New Roman" w:hAnsi="Times New Roman" w:cs="Times New Roman"/>
          <w:sz w:val="24"/>
          <w:szCs w:val="24"/>
        </w:rPr>
        <w:t>Breakout</w:t>
      </w:r>
      <w:proofErr w:type="spellEnd"/>
      <w:r>
        <w:rPr>
          <w:rFonts w:ascii="Times New Roman" w:eastAsia="Times New Roman" w:hAnsi="Times New Roman" w:cs="Times New Roman"/>
          <w:sz w:val="24"/>
          <w:szCs w:val="24"/>
        </w:rPr>
        <w:t xml:space="preserve"> educativo en educación infantil. En E. Sánchez., E. Colomo., J. </w:t>
      </w:r>
      <w:proofErr w:type="spellStart"/>
      <w:r>
        <w:rPr>
          <w:rFonts w:ascii="Times New Roman" w:eastAsia="Times New Roman" w:hAnsi="Times New Roman" w:cs="Times New Roman"/>
          <w:sz w:val="24"/>
          <w:szCs w:val="24"/>
        </w:rPr>
        <w:t>Ruiz.y</w:t>
      </w:r>
      <w:proofErr w:type="spellEnd"/>
      <w:r>
        <w:rPr>
          <w:rFonts w:ascii="Times New Roman" w:eastAsia="Times New Roman" w:hAnsi="Times New Roman" w:cs="Times New Roman"/>
          <w:sz w:val="24"/>
          <w:szCs w:val="24"/>
        </w:rPr>
        <w:t xml:space="preserve"> J. Sánchez. (coord.). T</w:t>
      </w:r>
      <w:r>
        <w:rPr>
          <w:rFonts w:ascii="Times New Roman" w:eastAsia="Times New Roman" w:hAnsi="Times New Roman" w:cs="Times New Roman"/>
          <w:i/>
          <w:sz w:val="24"/>
          <w:szCs w:val="24"/>
        </w:rPr>
        <w:t>ecnologías educativas y estrategias didácticas.</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Umaeditorial</w:t>
      </w:r>
      <w:proofErr w:type="spellEnd"/>
      <w:r>
        <w:rPr>
          <w:rFonts w:ascii="Times New Roman" w:eastAsia="Times New Roman" w:hAnsi="Times New Roman" w:cs="Times New Roman"/>
          <w:sz w:val="24"/>
          <w:szCs w:val="24"/>
        </w:rPr>
        <w:t xml:space="preserve">. </w:t>
      </w:r>
      <w:hyperlink r:id="rId40">
        <w:r>
          <w:rPr>
            <w:rFonts w:ascii="Times New Roman" w:eastAsia="Times New Roman" w:hAnsi="Times New Roman" w:cs="Times New Roman"/>
            <w:color w:val="0B57D0"/>
            <w:sz w:val="24"/>
            <w:szCs w:val="24"/>
          </w:rPr>
          <w:t>https://hdl.handle.net/10630/20345</w:t>
        </w:r>
      </w:hyperlink>
    </w:p>
    <w:p w14:paraId="000000C4" w14:textId="77777777" w:rsidR="00CC7271" w:rsidRDefault="00FD3F8A">
      <w:pPr>
        <w:widowControl w:val="0"/>
        <w:spacing w:after="200" w:line="360" w:lineRule="auto"/>
        <w:ind w:left="72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Pedreira, M. y </w:t>
      </w:r>
      <w:proofErr w:type="spellStart"/>
      <w:r>
        <w:rPr>
          <w:rFonts w:ascii="Times New Roman" w:eastAsia="Times New Roman" w:hAnsi="Times New Roman" w:cs="Times New Roman"/>
          <w:sz w:val="24"/>
          <w:szCs w:val="24"/>
        </w:rPr>
        <w:t>Fagundo</w:t>
      </w:r>
      <w:proofErr w:type="spellEnd"/>
      <w:r>
        <w:rPr>
          <w:rFonts w:ascii="Times New Roman" w:eastAsia="Times New Roman" w:hAnsi="Times New Roman" w:cs="Times New Roman"/>
          <w:sz w:val="24"/>
          <w:szCs w:val="24"/>
        </w:rPr>
        <w:t xml:space="preserve">, B. (2022). </w:t>
      </w:r>
      <w:r>
        <w:rPr>
          <w:rFonts w:ascii="Times New Roman" w:eastAsia="Times New Roman" w:hAnsi="Times New Roman" w:cs="Times New Roman"/>
          <w:i/>
          <w:sz w:val="24"/>
          <w:szCs w:val="24"/>
        </w:rPr>
        <w:t>Diálogos entre educación y neurociencia</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Eumo</w:t>
      </w:r>
      <w:proofErr w:type="spellEnd"/>
      <w:r>
        <w:rPr>
          <w:rFonts w:ascii="Times New Roman" w:eastAsia="Times New Roman" w:hAnsi="Times New Roman" w:cs="Times New Roman"/>
          <w:sz w:val="24"/>
          <w:szCs w:val="24"/>
        </w:rPr>
        <w:t xml:space="preserve"> Editorial.</w:t>
      </w:r>
    </w:p>
    <w:p w14:paraId="000000C5" w14:textId="77777777" w:rsidR="00CC7271" w:rsidRDefault="00FD3F8A">
      <w:pPr>
        <w:widowControl w:val="0"/>
        <w:spacing w:after="200" w:line="360" w:lineRule="auto"/>
        <w:ind w:left="72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Peinado, R., Aguilar, D., Solé, A., y El </w:t>
      </w:r>
      <w:proofErr w:type="spellStart"/>
      <w:r>
        <w:rPr>
          <w:rFonts w:ascii="Times New Roman" w:eastAsia="Times New Roman" w:hAnsi="Times New Roman" w:cs="Times New Roman"/>
          <w:sz w:val="24"/>
          <w:szCs w:val="24"/>
        </w:rPr>
        <w:t>Hajmouni</w:t>
      </w:r>
      <w:proofErr w:type="spellEnd"/>
      <w:r>
        <w:rPr>
          <w:rFonts w:ascii="Times New Roman" w:eastAsia="Times New Roman" w:hAnsi="Times New Roman" w:cs="Times New Roman"/>
          <w:sz w:val="24"/>
          <w:szCs w:val="24"/>
        </w:rPr>
        <w:t>, Y. (2022). Implementación y análisis de un patio científico en la etapa de Educación Infantil.</w:t>
      </w:r>
      <w:r>
        <w:rPr>
          <w:rFonts w:ascii="Times New Roman" w:eastAsia="Times New Roman" w:hAnsi="Times New Roman" w:cs="Times New Roman"/>
          <w:i/>
          <w:sz w:val="24"/>
          <w:szCs w:val="24"/>
        </w:rPr>
        <w:t xml:space="preserve"> DIDACTICAE, </w:t>
      </w:r>
      <w:r>
        <w:rPr>
          <w:rFonts w:ascii="Times New Roman" w:eastAsia="Times New Roman" w:hAnsi="Times New Roman" w:cs="Times New Roman"/>
          <w:sz w:val="24"/>
          <w:szCs w:val="24"/>
        </w:rPr>
        <w:t>(11).</w:t>
      </w:r>
      <w:r>
        <w:rPr>
          <w:rFonts w:ascii="Times New Roman" w:eastAsia="Times New Roman" w:hAnsi="Times New Roman" w:cs="Times New Roman"/>
          <w:color w:val="444746"/>
          <w:sz w:val="24"/>
          <w:szCs w:val="24"/>
        </w:rPr>
        <w:t xml:space="preserve"> </w:t>
      </w:r>
      <w:hyperlink r:id="rId41">
        <w:r>
          <w:rPr>
            <w:rFonts w:ascii="Times New Roman" w:eastAsia="Times New Roman" w:hAnsi="Times New Roman" w:cs="Times New Roman"/>
            <w:color w:val="0B57D0"/>
            <w:sz w:val="24"/>
            <w:szCs w:val="24"/>
          </w:rPr>
          <w:t>https://doi.org/10.1344/did.2022.11.xx-xx</w:t>
        </w:r>
      </w:hyperlink>
    </w:p>
    <w:p w14:paraId="000000C6" w14:textId="77777777" w:rsidR="00CC7271" w:rsidRDefault="00FD3F8A">
      <w:pPr>
        <w:widowControl w:val="0"/>
        <w:spacing w:line="360" w:lineRule="auto"/>
        <w:ind w:left="72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Prieto, L. (2007).</w:t>
      </w:r>
      <w:r>
        <w:rPr>
          <w:rFonts w:ascii="Times New Roman" w:eastAsia="Times New Roman" w:hAnsi="Times New Roman" w:cs="Times New Roman"/>
          <w:i/>
          <w:sz w:val="24"/>
          <w:szCs w:val="24"/>
        </w:rPr>
        <w:t xml:space="preserve"> El aprendizaje cooperativo</w:t>
      </w:r>
      <w:r>
        <w:rPr>
          <w:rFonts w:ascii="Times New Roman" w:eastAsia="Times New Roman" w:hAnsi="Times New Roman" w:cs="Times New Roman"/>
          <w:sz w:val="24"/>
          <w:szCs w:val="24"/>
        </w:rPr>
        <w:t>. PPC.</w:t>
      </w:r>
    </w:p>
    <w:p w14:paraId="000000C7" w14:textId="77777777" w:rsidR="00CC7271" w:rsidRDefault="00FD3F8A">
      <w:pPr>
        <w:widowControl w:val="0"/>
        <w:spacing w:line="360" w:lineRule="auto"/>
        <w:ind w:left="72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Rodríguez, J. M., Manzano, A., Camacho, R. y Rodríguez, P. (2023). Innovación educativa a través de la creación de </w:t>
      </w:r>
      <w:proofErr w:type="spellStart"/>
      <w:r>
        <w:rPr>
          <w:rFonts w:ascii="Times New Roman" w:eastAsia="Times New Roman" w:hAnsi="Times New Roman" w:cs="Times New Roman"/>
          <w:sz w:val="24"/>
          <w:szCs w:val="24"/>
        </w:rPr>
        <w:t>Breakouts</w:t>
      </w:r>
      <w:proofErr w:type="spellEnd"/>
      <w:r>
        <w:rPr>
          <w:rFonts w:ascii="Times New Roman" w:eastAsia="Times New Roman" w:hAnsi="Times New Roman" w:cs="Times New Roman"/>
          <w:sz w:val="24"/>
          <w:szCs w:val="24"/>
        </w:rPr>
        <w:t xml:space="preserve"> online cooperativos. En P. Fernández, R. Pinilla y B. Puebla (eds.), </w:t>
      </w:r>
      <w:r>
        <w:rPr>
          <w:rFonts w:ascii="Times New Roman" w:eastAsia="Times New Roman" w:hAnsi="Times New Roman" w:cs="Times New Roman"/>
          <w:i/>
          <w:sz w:val="24"/>
          <w:szCs w:val="24"/>
        </w:rPr>
        <w:t xml:space="preserve">Nuevos caminos en las prácticas innovadoras docentes del ecosistema educativo, </w:t>
      </w:r>
      <w:r>
        <w:rPr>
          <w:rFonts w:ascii="Times New Roman" w:eastAsia="Times New Roman" w:hAnsi="Times New Roman" w:cs="Times New Roman"/>
          <w:sz w:val="24"/>
          <w:szCs w:val="24"/>
        </w:rPr>
        <w:t xml:space="preserve">(pp. 29-41). Dykinson. </w:t>
      </w:r>
    </w:p>
    <w:p w14:paraId="000000C8" w14:textId="77777777" w:rsidR="00CC7271" w:rsidRDefault="00FD3F8A">
      <w:pPr>
        <w:widowControl w:val="0"/>
        <w:spacing w:line="360" w:lineRule="auto"/>
        <w:ind w:left="72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Sánchez, M. I. (2022). </w:t>
      </w:r>
      <w:proofErr w:type="spellStart"/>
      <w:r>
        <w:rPr>
          <w:rFonts w:ascii="Times New Roman" w:eastAsia="Times New Roman" w:hAnsi="Times New Roman" w:cs="Times New Roman"/>
          <w:i/>
          <w:sz w:val="24"/>
          <w:szCs w:val="24"/>
        </w:rPr>
        <w:t>Gamificación</w:t>
      </w:r>
      <w:proofErr w:type="spellEnd"/>
      <w:r>
        <w:rPr>
          <w:rFonts w:ascii="Times New Roman" w:eastAsia="Times New Roman" w:hAnsi="Times New Roman" w:cs="Times New Roman"/>
          <w:i/>
          <w:sz w:val="24"/>
          <w:szCs w:val="24"/>
        </w:rPr>
        <w:t xml:space="preserve"> y </w:t>
      </w:r>
      <w:proofErr w:type="spellStart"/>
      <w:r>
        <w:rPr>
          <w:rFonts w:ascii="Times New Roman" w:eastAsia="Times New Roman" w:hAnsi="Times New Roman" w:cs="Times New Roman"/>
          <w:i/>
          <w:sz w:val="24"/>
          <w:szCs w:val="24"/>
        </w:rPr>
        <w:t>Breakout</w:t>
      </w:r>
      <w:proofErr w:type="spellEnd"/>
      <w:r>
        <w:rPr>
          <w:rFonts w:ascii="Times New Roman" w:eastAsia="Times New Roman" w:hAnsi="Times New Roman" w:cs="Times New Roman"/>
          <w:i/>
          <w:sz w:val="24"/>
          <w:szCs w:val="24"/>
        </w:rPr>
        <w:t xml:space="preserve"> para trabajar la inteligencia emocional.</w:t>
      </w:r>
      <w:r>
        <w:rPr>
          <w:rFonts w:ascii="Times New Roman" w:eastAsia="Times New Roman" w:hAnsi="Times New Roman" w:cs="Times New Roman"/>
          <w:sz w:val="24"/>
          <w:szCs w:val="24"/>
        </w:rPr>
        <w:t xml:space="preserve"> Inclusión.</w:t>
      </w:r>
    </w:p>
    <w:p w14:paraId="000000C9" w14:textId="77777777" w:rsidR="00CC7271" w:rsidRDefault="00FD3F8A">
      <w:pPr>
        <w:widowControl w:val="0"/>
        <w:spacing w:line="360" w:lineRule="auto"/>
        <w:ind w:left="72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Sánchez-Rodríguez, J., Ruiz-Palmero, J., Sánchez-Rivas, E. y Sánchez-Vega, E. (2020). </w:t>
      </w:r>
      <w:r>
        <w:rPr>
          <w:rFonts w:ascii="Times New Roman" w:eastAsia="Times New Roman" w:hAnsi="Times New Roman" w:cs="Times New Roman"/>
          <w:i/>
          <w:sz w:val="24"/>
          <w:szCs w:val="24"/>
        </w:rPr>
        <w:t xml:space="preserve">Escape </w:t>
      </w:r>
      <w:proofErr w:type="spellStart"/>
      <w:r>
        <w:rPr>
          <w:rFonts w:ascii="Times New Roman" w:eastAsia="Times New Roman" w:hAnsi="Times New Roman" w:cs="Times New Roman"/>
          <w:i/>
          <w:sz w:val="24"/>
          <w:szCs w:val="24"/>
        </w:rPr>
        <w:t>room</w:t>
      </w:r>
      <w:proofErr w:type="spellEnd"/>
      <w:r>
        <w:rPr>
          <w:rFonts w:ascii="Times New Roman" w:eastAsia="Times New Roman" w:hAnsi="Times New Roman" w:cs="Times New Roman"/>
          <w:i/>
          <w:sz w:val="24"/>
          <w:szCs w:val="24"/>
        </w:rPr>
        <w:t xml:space="preserve"> y </w:t>
      </w:r>
      <w:proofErr w:type="spellStart"/>
      <w:r>
        <w:rPr>
          <w:rFonts w:ascii="Times New Roman" w:eastAsia="Times New Roman" w:hAnsi="Times New Roman" w:cs="Times New Roman"/>
          <w:i/>
          <w:sz w:val="24"/>
          <w:szCs w:val="24"/>
        </w:rPr>
        <w:t>Breakout</w:t>
      </w:r>
      <w:proofErr w:type="spellEnd"/>
      <w:r>
        <w:rPr>
          <w:rFonts w:ascii="Times New Roman" w:eastAsia="Times New Roman" w:hAnsi="Times New Roman" w:cs="Times New Roman"/>
          <w:i/>
          <w:sz w:val="24"/>
          <w:szCs w:val="24"/>
        </w:rPr>
        <w:t>. Aproximación bibliométrica en bases de datos</w:t>
      </w:r>
      <w:r>
        <w:rPr>
          <w:rFonts w:ascii="Times New Roman" w:eastAsia="Times New Roman" w:hAnsi="Times New Roman" w:cs="Times New Roman"/>
          <w:sz w:val="24"/>
          <w:szCs w:val="24"/>
        </w:rPr>
        <w:t xml:space="preserve">. Repositorio Institucional de la Universidad de Málaga. </w:t>
      </w:r>
      <w:hyperlink r:id="rId42">
        <w:r>
          <w:rPr>
            <w:rFonts w:ascii="Times New Roman" w:eastAsia="Times New Roman" w:hAnsi="Times New Roman" w:cs="Times New Roman"/>
            <w:color w:val="0B57D0"/>
            <w:sz w:val="24"/>
            <w:szCs w:val="24"/>
            <w:u w:val="single"/>
          </w:rPr>
          <w:t>https://hdl.handle.net/10630/19157</w:t>
        </w:r>
      </w:hyperlink>
    </w:p>
    <w:p w14:paraId="000000CA" w14:textId="77777777" w:rsidR="00CC7271" w:rsidRPr="00FD3F8A" w:rsidRDefault="00FD3F8A">
      <w:pPr>
        <w:widowControl w:val="0"/>
        <w:spacing w:line="360" w:lineRule="auto"/>
        <w:ind w:left="720" w:hanging="720"/>
        <w:jc w:val="both"/>
        <w:rPr>
          <w:rFonts w:ascii="Times New Roman" w:eastAsia="Times New Roman" w:hAnsi="Times New Roman" w:cs="Times New Roman"/>
          <w:sz w:val="24"/>
          <w:szCs w:val="24"/>
          <w:lang w:val="en-US"/>
        </w:rPr>
      </w:pPr>
      <w:r w:rsidRPr="00FD3F8A">
        <w:rPr>
          <w:rFonts w:ascii="Times New Roman" w:eastAsia="Times New Roman" w:hAnsi="Times New Roman" w:cs="Times New Roman"/>
          <w:sz w:val="24"/>
          <w:szCs w:val="24"/>
          <w:lang w:val="en-US"/>
        </w:rPr>
        <w:t>Schrier, K. (2016).</w:t>
      </w:r>
      <w:r w:rsidRPr="00FD3F8A">
        <w:rPr>
          <w:rFonts w:ascii="Times New Roman" w:eastAsia="Times New Roman" w:hAnsi="Times New Roman" w:cs="Times New Roman"/>
          <w:i/>
          <w:sz w:val="24"/>
          <w:szCs w:val="24"/>
          <w:lang w:val="en-US"/>
        </w:rPr>
        <w:t xml:space="preserve"> Knowledge games: How playing games can solve problems, create insight, and make change.</w:t>
      </w:r>
      <w:r w:rsidRPr="00FD3F8A">
        <w:rPr>
          <w:rFonts w:ascii="Times New Roman" w:eastAsia="Times New Roman" w:hAnsi="Times New Roman" w:cs="Times New Roman"/>
          <w:sz w:val="24"/>
          <w:szCs w:val="24"/>
          <w:lang w:val="en-US"/>
        </w:rPr>
        <w:t xml:space="preserve"> John Hopkins University Press.</w:t>
      </w:r>
    </w:p>
    <w:p w14:paraId="000000CB" w14:textId="77777777" w:rsidR="00CC7271" w:rsidRDefault="00FD3F8A">
      <w:pPr>
        <w:widowControl w:val="0"/>
        <w:spacing w:line="360" w:lineRule="auto"/>
        <w:ind w:left="720" w:hanging="720"/>
        <w:jc w:val="both"/>
        <w:rPr>
          <w:rFonts w:ascii="Times New Roman" w:eastAsia="Times New Roman" w:hAnsi="Times New Roman" w:cs="Times New Roman"/>
          <w:color w:val="444746"/>
          <w:sz w:val="24"/>
          <w:szCs w:val="24"/>
        </w:rPr>
      </w:pPr>
      <w:proofErr w:type="spellStart"/>
      <w:r w:rsidRPr="00FD3F8A">
        <w:rPr>
          <w:rFonts w:ascii="Times New Roman" w:eastAsia="Times New Roman" w:hAnsi="Times New Roman" w:cs="Times New Roman"/>
          <w:sz w:val="24"/>
          <w:szCs w:val="24"/>
          <w:lang w:val="en-US"/>
        </w:rPr>
        <w:t>Suryadi</w:t>
      </w:r>
      <w:proofErr w:type="spellEnd"/>
      <w:r w:rsidRPr="00FD3F8A">
        <w:rPr>
          <w:rFonts w:ascii="Times New Roman" w:eastAsia="Times New Roman" w:hAnsi="Times New Roman" w:cs="Times New Roman"/>
          <w:sz w:val="24"/>
          <w:szCs w:val="24"/>
          <w:lang w:val="en-US"/>
        </w:rPr>
        <w:t xml:space="preserve">, D., </w:t>
      </w:r>
      <w:proofErr w:type="spellStart"/>
      <w:r w:rsidRPr="00FD3F8A">
        <w:rPr>
          <w:rFonts w:ascii="Times New Roman" w:eastAsia="Times New Roman" w:hAnsi="Times New Roman" w:cs="Times New Roman"/>
          <w:sz w:val="24"/>
          <w:szCs w:val="24"/>
          <w:lang w:val="en-US"/>
        </w:rPr>
        <w:t>Okilanda</w:t>
      </w:r>
      <w:proofErr w:type="spellEnd"/>
      <w:r w:rsidRPr="00FD3F8A">
        <w:rPr>
          <w:rFonts w:ascii="Times New Roman" w:eastAsia="Times New Roman" w:hAnsi="Times New Roman" w:cs="Times New Roman"/>
          <w:sz w:val="24"/>
          <w:szCs w:val="24"/>
          <w:lang w:val="en-US"/>
        </w:rPr>
        <w:t xml:space="preserve">, A., </w:t>
      </w:r>
      <w:proofErr w:type="spellStart"/>
      <w:r w:rsidRPr="00FD3F8A">
        <w:rPr>
          <w:rFonts w:ascii="Times New Roman" w:eastAsia="Times New Roman" w:hAnsi="Times New Roman" w:cs="Times New Roman"/>
          <w:sz w:val="24"/>
          <w:szCs w:val="24"/>
          <w:lang w:val="en-US"/>
        </w:rPr>
        <w:t>Nofrizal</w:t>
      </w:r>
      <w:proofErr w:type="spellEnd"/>
      <w:r w:rsidRPr="00FD3F8A">
        <w:rPr>
          <w:rFonts w:ascii="Times New Roman" w:eastAsia="Times New Roman" w:hAnsi="Times New Roman" w:cs="Times New Roman"/>
          <w:sz w:val="24"/>
          <w:szCs w:val="24"/>
          <w:lang w:val="en-US"/>
        </w:rPr>
        <w:t xml:space="preserve">, D., </w:t>
      </w:r>
      <w:proofErr w:type="spellStart"/>
      <w:r w:rsidRPr="00FD3F8A">
        <w:rPr>
          <w:rFonts w:ascii="Times New Roman" w:eastAsia="Times New Roman" w:hAnsi="Times New Roman" w:cs="Times New Roman"/>
          <w:sz w:val="24"/>
          <w:szCs w:val="24"/>
          <w:lang w:val="en-US"/>
        </w:rPr>
        <w:t>Anggara</w:t>
      </w:r>
      <w:proofErr w:type="spellEnd"/>
      <w:r w:rsidRPr="00FD3F8A">
        <w:rPr>
          <w:rFonts w:ascii="Times New Roman" w:eastAsia="Times New Roman" w:hAnsi="Times New Roman" w:cs="Times New Roman"/>
          <w:sz w:val="24"/>
          <w:szCs w:val="24"/>
          <w:lang w:val="en-US"/>
        </w:rPr>
        <w:t xml:space="preserve">, M., </w:t>
      </w:r>
      <w:proofErr w:type="spellStart"/>
      <w:r w:rsidRPr="00FD3F8A">
        <w:rPr>
          <w:rFonts w:ascii="Times New Roman" w:eastAsia="Times New Roman" w:hAnsi="Times New Roman" w:cs="Times New Roman"/>
          <w:sz w:val="24"/>
          <w:szCs w:val="24"/>
          <w:lang w:val="en-US"/>
        </w:rPr>
        <w:t>Tulyakul</w:t>
      </w:r>
      <w:proofErr w:type="spellEnd"/>
      <w:r w:rsidRPr="00FD3F8A">
        <w:rPr>
          <w:rFonts w:ascii="Times New Roman" w:eastAsia="Times New Roman" w:hAnsi="Times New Roman" w:cs="Times New Roman"/>
          <w:sz w:val="24"/>
          <w:szCs w:val="24"/>
          <w:lang w:val="en-US"/>
        </w:rPr>
        <w:t xml:space="preserve">, S., Ahmed, M., Hussain, I., </w:t>
      </w:r>
      <w:proofErr w:type="spellStart"/>
      <w:r w:rsidRPr="00FD3F8A">
        <w:rPr>
          <w:rFonts w:ascii="Times New Roman" w:eastAsia="Times New Roman" w:hAnsi="Times New Roman" w:cs="Times New Roman"/>
          <w:sz w:val="24"/>
          <w:szCs w:val="24"/>
          <w:lang w:val="en-US"/>
        </w:rPr>
        <w:t>Nasrulloh</w:t>
      </w:r>
      <w:proofErr w:type="spellEnd"/>
      <w:r w:rsidRPr="00FD3F8A">
        <w:rPr>
          <w:rFonts w:ascii="Times New Roman" w:eastAsia="Times New Roman" w:hAnsi="Times New Roman" w:cs="Times New Roman"/>
          <w:sz w:val="24"/>
          <w:szCs w:val="24"/>
          <w:lang w:val="en-US"/>
        </w:rPr>
        <w:t xml:space="preserve">, A., </w:t>
      </w:r>
      <w:proofErr w:type="spellStart"/>
      <w:r w:rsidRPr="00FD3F8A">
        <w:rPr>
          <w:rFonts w:ascii="Times New Roman" w:eastAsia="Times New Roman" w:hAnsi="Times New Roman" w:cs="Times New Roman"/>
          <w:sz w:val="24"/>
          <w:szCs w:val="24"/>
          <w:lang w:val="en-US"/>
        </w:rPr>
        <w:t>Juni</w:t>
      </w:r>
      <w:proofErr w:type="spellEnd"/>
      <w:r w:rsidRPr="00FD3F8A">
        <w:rPr>
          <w:rFonts w:ascii="Times New Roman" w:eastAsia="Times New Roman" w:hAnsi="Times New Roman" w:cs="Times New Roman"/>
          <w:sz w:val="24"/>
          <w:szCs w:val="24"/>
          <w:lang w:val="en-US"/>
        </w:rPr>
        <w:t xml:space="preserve">, T., </w:t>
      </w:r>
      <w:proofErr w:type="spellStart"/>
      <w:r w:rsidRPr="00FD3F8A">
        <w:rPr>
          <w:rFonts w:ascii="Times New Roman" w:eastAsia="Times New Roman" w:hAnsi="Times New Roman" w:cs="Times New Roman"/>
          <w:sz w:val="24"/>
          <w:szCs w:val="24"/>
          <w:lang w:val="en-US"/>
        </w:rPr>
        <w:t>Dwi</w:t>
      </w:r>
      <w:proofErr w:type="spellEnd"/>
      <w:r w:rsidRPr="00FD3F8A">
        <w:rPr>
          <w:rFonts w:ascii="Times New Roman" w:eastAsia="Times New Roman" w:hAnsi="Times New Roman" w:cs="Times New Roman"/>
          <w:sz w:val="24"/>
          <w:szCs w:val="24"/>
          <w:lang w:val="en-US"/>
        </w:rPr>
        <w:t xml:space="preserve">, I. y </w:t>
      </w:r>
      <w:proofErr w:type="spellStart"/>
      <w:r w:rsidRPr="00FD3F8A">
        <w:rPr>
          <w:rFonts w:ascii="Times New Roman" w:eastAsia="Times New Roman" w:hAnsi="Times New Roman" w:cs="Times New Roman"/>
          <w:sz w:val="24"/>
          <w:szCs w:val="24"/>
          <w:lang w:val="en-US"/>
        </w:rPr>
        <w:t>Herdiyana</w:t>
      </w:r>
      <w:proofErr w:type="spellEnd"/>
      <w:r w:rsidRPr="00FD3F8A">
        <w:rPr>
          <w:rFonts w:ascii="Times New Roman" w:eastAsia="Times New Roman" w:hAnsi="Times New Roman" w:cs="Times New Roman"/>
          <w:sz w:val="24"/>
          <w:szCs w:val="24"/>
          <w:lang w:val="en-US"/>
        </w:rPr>
        <w:t xml:space="preserve">, R. (2024). How does cooperative learning work with students? Literature review in physical education. </w:t>
      </w:r>
      <w:r>
        <w:rPr>
          <w:rFonts w:ascii="Times New Roman" w:eastAsia="Times New Roman" w:hAnsi="Times New Roman" w:cs="Times New Roman"/>
          <w:i/>
          <w:sz w:val="24"/>
          <w:szCs w:val="24"/>
        </w:rPr>
        <w:t>Retos, 55,</w:t>
      </w:r>
      <w:r>
        <w:rPr>
          <w:rFonts w:ascii="Times New Roman" w:eastAsia="Times New Roman" w:hAnsi="Times New Roman" w:cs="Times New Roman"/>
          <w:sz w:val="24"/>
          <w:szCs w:val="24"/>
        </w:rPr>
        <w:t xml:space="preserve"> 527-535. </w:t>
      </w:r>
      <w:hyperlink r:id="rId43">
        <w:r>
          <w:rPr>
            <w:rFonts w:ascii="Times New Roman" w:eastAsia="Times New Roman" w:hAnsi="Times New Roman" w:cs="Times New Roman"/>
            <w:color w:val="1155CC"/>
            <w:sz w:val="24"/>
            <w:szCs w:val="24"/>
            <w:u w:val="single"/>
          </w:rPr>
          <w:t>https://doi.org/10.47197/retos.v55.105256</w:t>
        </w:r>
      </w:hyperlink>
    </w:p>
    <w:p w14:paraId="000000CC" w14:textId="77777777" w:rsidR="00CC7271" w:rsidRDefault="00FD3F8A">
      <w:pPr>
        <w:widowControl w:val="0"/>
        <w:spacing w:after="200" w:line="36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 xml:space="preserve">Tiana, A. (2011). Políticas de formación del profesorado y mejora de los sistemas educativos: algunas reflexiones a partir de la experiencia española. </w:t>
      </w:r>
      <w:r>
        <w:rPr>
          <w:rFonts w:ascii="Times New Roman" w:eastAsia="Times New Roman" w:hAnsi="Times New Roman" w:cs="Times New Roman"/>
          <w:i/>
          <w:sz w:val="24"/>
          <w:szCs w:val="24"/>
          <w:highlight w:val="white"/>
        </w:rPr>
        <w:t>Revista Fuentes, 11,</w:t>
      </w:r>
      <w:r>
        <w:rPr>
          <w:rFonts w:ascii="Times New Roman" w:eastAsia="Times New Roman" w:hAnsi="Times New Roman" w:cs="Times New Roman"/>
          <w:sz w:val="24"/>
          <w:szCs w:val="24"/>
          <w:highlight w:val="white"/>
        </w:rPr>
        <w:t xml:space="preserve"> 13-27. </w:t>
      </w:r>
      <w:hyperlink r:id="rId44">
        <w:r>
          <w:rPr>
            <w:rFonts w:ascii="Times New Roman" w:eastAsia="Times New Roman" w:hAnsi="Times New Roman" w:cs="Times New Roman"/>
            <w:color w:val="0B57D0"/>
            <w:sz w:val="24"/>
            <w:szCs w:val="24"/>
            <w:highlight w:val="white"/>
          </w:rPr>
          <w:t>https://revistascientificas.us.es/index.php/fuentes/article/view/2437</w:t>
        </w:r>
      </w:hyperlink>
    </w:p>
    <w:p w14:paraId="000000CD" w14:textId="77777777" w:rsidR="00CC7271" w:rsidRDefault="00FD3F8A">
      <w:pPr>
        <w:widowControl w:val="0"/>
        <w:spacing w:after="200" w:line="360" w:lineRule="auto"/>
        <w:ind w:left="72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Zurita, M. S. (2020). El aprendizaje cooperativo y el desarrollo de habilidades cognitivas.</w:t>
      </w:r>
      <w:r>
        <w:rPr>
          <w:rFonts w:ascii="Times New Roman" w:eastAsia="Times New Roman" w:hAnsi="Times New Roman" w:cs="Times New Roman"/>
          <w:i/>
          <w:sz w:val="24"/>
          <w:szCs w:val="24"/>
        </w:rPr>
        <w:t xml:space="preserve"> Revista EDUCARE, 24</w:t>
      </w:r>
      <w:r>
        <w:rPr>
          <w:rFonts w:ascii="Times New Roman" w:eastAsia="Times New Roman" w:hAnsi="Times New Roman" w:cs="Times New Roman"/>
          <w:sz w:val="24"/>
          <w:szCs w:val="24"/>
        </w:rPr>
        <w:t>(1), 51-74.</w:t>
      </w:r>
      <w:r>
        <w:rPr>
          <w:rFonts w:ascii="Times New Roman" w:eastAsia="Times New Roman" w:hAnsi="Times New Roman" w:cs="Times New Roman"/>
          <w:color w:val="444746"/>
          <w:sz w:val="24"/>
          <w:szCs w:val="24"/>
        </w:rPr>
        <w:t xml:space="preserve"> </w:t>
      </w:r>
      <w:hyperlink r:id="rId45">
        <w:r>
          <w:rPr>
            <w:rFonts w:ascii="Times New Roman" w:eastAsia="Times New Roman" w:hAnsi="Times New Roman" w:cs="Times New Roman"/>
            <w:color w:val="0B57D0"/>
            <w:sz w:val="24"/>
            <w:szCs w:val="24"/>
          </w:rPr>
          <w:t>https://doi.org/10.46498/reduipb.v24i1.1226</w:t>
        </w:r>
      </w:hyperlink>
    </w:p>
    <w:p w14:paraId="000000CE" w14:textId="77777777" w:rsidR="00CC7271" w:rsidRDefault="00CC7271">
      <w:pPr>
        <w:spacing w:line="360" w:lineRule="auto"/>
        <w:rPr>
          <w:sz w:val="24"/>
          <w:szCs w:val="24"/>
        </w:rPr>
      </w:pPr>
    </w:p>
    <w:sectPr w:rsidR="00CC7271" w:rsidSect="00633EF9">
      <w:headerReference w:type="default" r:id="rId46"/>
      <w:footerReference w:type="default" r:id="rId47"/>
      <w:pgSz w:w="12240" w:h="15840"/>
      <w:pgMar w:top="1300" w:right="1440" w:bottom="2970" w:left="1350" w:header="360" w:footer="451" w:gutter="0"/>
      <w:pgNumType w:start="31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C94DD41" w14:textId="77777777" w:rsidR="00D0346A" w:rsidRDefault="00D0346A">
      <w:pPr>
        <w:spacing w:after="0" w:line="240" w:lineRule="auto"/>
      </w:pPr>
      <w:r>
        <w:separator/>
      </w:r>
    </w:p>
  </w:endnote>
  <w:endnote w:type="continuationSeparator" w:id="0">
    <w:p w14:paraId="265D641C" w14:textId="77777777" w:rsidR="00D0346A" w:rsidRDefault="00D034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embedRegular r:id="rId1" w:fontKey="{AD489774-C7B0-4151-B552-27D572E743FD}"/>
    <w:embedBold r:id="rId2" w:fontKey="{D4F56ADC-4402-4B21-A845-378AFE678627}"/>
  </w:font>
  <w:font w:name="Georgia">
    <w:panose1 w:val="02040502050405020303"/>
    <w:charset w:val="00"/>
    <w:family w:val="roman"/>
    <w:pitch w:val="variable"/>
    <w:sig w:usb0="00000287" w:usb1="00000000" w:usb2="00000000" w:usb3="00000000" w:csb0="0000009F" w:csb1="00000000"/>
    <w:embedRegular r:id="rId3" w:fontKey="{78DAA6F6-6636-4564-8E50-881321CF2068}"/>
    <w:embedItalic r:id="rId4" w:fontKey="{73A23438-391A-4769-B1A3-E93253BFAEC6}"/>
  </w:font>
  <w:font w:name="Segoe UI">
    <w:panose1 w:val="020B0502040204020203"/>
    <w:charset w:val="00"/>
    <w:family w:val="swiss"/>
    <w:pitch w:val="variable"/>
    <w:sig w:usb0="E4002EFF" w:usb1="C000E47F" w:usb2="00000009" w:usb3="00000000" w:csb0="000001FF" w:csb1="00000000"/>
    <w:embedRegular r:id="rId5" w:fontKey="{D1B2A339-E7A1-499B-BFB6-3697EFEDAF7E}"/>
  </w:font>
  <w:font w:name="Aptos">
    <w:charset w:val="00"/>
    <w:family w:val="swiss"/>
    <w:pitch w:val="variable"/>
    <w:sig w:usb0="20000287" w:usb1="00000003" w:usb2="00000000" w:usb3="00000000" w:csb0="0000019F" w:csb1="00000000"/>
  </w:font>
  <w:font w:name="Roboto">
    <w:charset w:val="00"/>
    <w:family w:val="auto"/>
    <w:pitch w:val="variable"/>
    <w:sig w:usb0="E00002FF" w:usb1="5000205B" w:usb2="00000020" w:usb3="00000000" w:csb0="0000019F" w:csb1="00000000"/>
    <w:embedRegular r:id="rId6" w:fontKey="{57453648-5B73-40DF-A058-35C7F4805369}"/>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embedRegular r:id="rId7" w:fontKey="{C1E3EDA5-B57B-446A-8270-80AE3D87B47B}"/>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D9" w14:textId="77777777" w:rsidR="00CC7271" w:rsidRDefault="00CC7271">
    <w:pPr>
      <w:widowControl w:val="0"/>
      <w:pBdr>
        <w:top w:val="nil"/>
        <w:left w:val="nil"/>
        <w:bottom w:val="nil"/>
        <w:right w:val="nil"/>
        <w:between w:val="nil"/>
      </w:pBdr>
      <w:spacing w:after="0" w:line="276" w:lineRule="auto"/>
      <w:rPr>
        <w:color w:val="000000"/>
      </w:rPr>
    </w:pPr>
  </w:p>
  <w:tbl>
    <w:tblPr>
      <w:tblStyle w:val="af"/>
      <w:tblW w:w="10085" w:type="dxa"/>
      <w:jc w:val="center"/>
      <w:tblInd w:w="0" w:type="dxa"/>
      <w:tblBorders>
        <w:top w:val="nil"/>
        <w:left w:val="nil"/>
        <w:bottom w:val="nil"/>
        <w:right w:val="nil"/>
        <w:insideH w:val="nil"/>
        <w:insideV w:val="nil"/>
      </w:tblBorders>
      <w:tblLayout w:type="fixed"/>
      <w:tblLook w:val="0400" w:firstRow="0" w:lastRow="0" w:firstColumn="0" w:lastColumn="0" w:noHBand="0" w:noVBand="1"/>
    </w:tblPr>
    <w:tblGrid>
      <w:gridCol w:w="1804"/>
      <w:gridCol w:w="8281"/>
    </w:tblGrid>
    <w:tr w:rsidR="00CC7271" w14:paraId="118DC481" w14:textId="77777777">
      <w:trPr>
        <w:trHeight w:val="310"/>
        <w:jc w:val="center"/>
      </w:trPr>
      <w:tc>
        <w:tcPr>
          <w:tcW w:w="1804" w:type="dxa"/>
          <w:shd w:val="clear" w:color="auto" w:fill="00B0F0"/>
          <w:tcMar>
            <w:top w:w="144" w:type="dxa"/>
            <w:left w:w="115" w:type="dxa"/>
            <w:bottom w:w="144" w:type="dxa"/>
            <w:right w:w="115" w:type="dxa"/>
          </w:tcMar>
          <w:vAlign w:val="center"/>
        </w:tcPr>
        <w:p w14:paraId="000000DA" w14:textId="77777777" w:rsidR="00CC7271" w:rsidRDefault="00FD3F8A">
          <w:pPr>
            <w:rPr>
              <w:b/>
              <w:color w:val="FFFFFF"/>
            </w:rPr>
          </w:pPr>
          <w:r>
            <w:rPr>
              <w:noProof/>
              <w:lang w:val="en-US" w:eastAsia="en-US"/>
            </w:rPr>
            <w:drawing>
              <wp:inline distT="0" distB="0" distL="0" distR="0" wp14:anchorId="429147B4" wp14:editId="5A7892C4">
                <wp:extent cx="999530" cy="352107"/>
                <wp:effectExtent l="0" t="0" r="0" b="0"/>
                <wp:docPr id="27"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999530" cy="352107"/>
                        </a:xfrm>
                        <a:prstGeom prst="rect">
                          <a:avLst/>
                        </a:prstGeom>
                        <a:ln/>
                      </pic:spPr>
                    </pic:pic>
                  </a:graphicData>
                </a:graphic>
              </wp:inline>
            </w:drawing>
          </w:r>
        </w:p>
      </w:tc>
      <w:tc>
        <w:tcPr>
          <w:tcW w:w="8281" w:type="dxa"/>
          <w:shd w:val="clear" w:color="auto" w:fill="00B0F0"/>
          <w:vAlign w:val="center"/>
        </w:tcPr>
        <w:p w14:paraId="000000DB" w14:textId="77777777" w:rsidR="00CC7271" w:rsidRDefault="00FD3F8A">
          <w:pPr>
            <w:rPr>
              <w:color w:val="FFFFFF"/>
              <w:sz w:val="20"/>
              <w:szCs w:val="20"/>
            </w:rPr>
          </w:pPr>
          <w:r>
            <w:rPr>
              <w:color w:val="FFFFFF"/>
              <w:sz w:val="20"/>
              <w:szCs w:val="20"/>
            </w:rPr>
            <w:t xml:space="preserve">Artículo de acceso abierto distribuido bajo los términos de la licencia </w:t>
          </w:r>
          <w:proofErr w:type="spellStart"/>
          <w:r>
            <w:rPr>
              <w:color w:val="FFFFFF"/>
              <w:sz w:val="20"/>
              <w:szCs w:val="20"/>
            </w:rPr>
            <w:t>Creative</w:t>
          </w:r>
          <w:proofErr w:type="spellEnd"/>
          <w:r>
            <w:rPr>
              <w:color w:val="FFFFFF"/>
              <w:sz w:val="20"/>
              <w:szCs w:val="20"/>
            </w:rPr>
            <w:t xml:space="preserve"> </w:t>
          </w:r>
          <w:proofErr w:type="spellStart"/>
          <w:r>
            <w:rPr>
              <w:color w:val="FFFFFF"/>
              <w:sz w:val="20"/>
              <w:szCs w:val="20"/>
            </w:rPr>
            <w:t>Commons</w:t>
          </w:r>
          <w:proofErr w:type="spellEnd"/>
          <w:r>
            <w:rPr>
              <w:color w:val="FFFFFF"/>
              <w:sz w:val="20"/>
              <w:szCs w:val="20"/>
            </w:rPr>
            <w:t xml:space="preserve">. </w:t>
          </w:r>
        </w:p>
        <w:p w14:paraId="000000DC" w14:textId="77777777" w:rsidR="00CC7271" w:rsidRDefault="00FD3F8A">
          <w:pPr>
            <w:rPr>
              <w:b/>
              <w:color w:val="FFFFFF"/>
            </w:rPr>
          </w:pPr>
          <w:r>
            <w:rPr>
              <w:color w:val="FFFFFF"/>
              <w:sz w:val="20"/>
              <w:szCs w:val="20"/>
            </w:rPr>
            <w:t>Reconocimiento-</w:t>
          </w:r>
          <w:proofErr w:type="spellStart"/>
          <w:r>
            <w:rPr>
              <w:color w:val="FFFFFF"/>
              <w:sz w:val="20"/>
              <w:szCs w:val="20"/>
            </w:rPr>
            <w:t>NoComercial</w:t>
          </w:r>
          <w:proofErr w:type="spellEnd"/>
          <w:r>
            <w:rPr>
              <w:color w:val="FFFFFF"/>
              <w:sz w:val="20"/>
              <w:szCs w:val="20"/>
            </w:rPr>
            <w:t xml:space="preserve"> 4.0 Internacional (CC BY-NC 4.0)</w:t>
          </w:r>
        </w:p>
      </w:tc>
    </w:tr>
    <w:tr w:rsidR="00CC7271" w14:paraId="06B8458F" w14:textId="77777777">
      <w:trPr>
        <w:trHeight w:val="14"/>
        <w:jc w:val="center"/>
      </w:trPr>
      <w:tc>
        <w:tcPr>
          <w:tcW w:w="10085" w:type="dxa"/>
          <w:gridSpan w:val="2"/>
          <w:shd w:val="clear" w:color="auto" w:fill="FFFFFF"/>
          <w:tcMar>
            <w:top w:w="144" w:type="dxa"/>
            <w:left w:w="115" w:type="dxa"/>
            <w:bottom w:w="144" w:type="dxa"/>
            <w:right w:w="115" w:type="dxa"/>
          </w:tcMar>
          <w:vAlign w:val="center"/>
        </w:tcPr>
        <w:p w14:paraId="000000DD" w14:textId="77777777" w:rsidR="00CC7271" w:rsidRDefault="00FD3F8A">
          <w:pPr>
            <w:jc w:val="center"/>
            <w:rPr>
              <w:color w:val="FFFFFF"/>
              <w:sz w:val="20"/>
              <w:szCs w:val="20"/>
            </w:rPr>
          </w:pPr>
          <w:r>
            <w:rPr>
              <w:color w:val="843C0B"/>
              <w:sz w:val="20"/>
              <w:szCs w:val="20"/>
            </w:rPr>
            <w:t>Calle 41 No. 3406 e/34 y 36 Playa, La Habana, Cuba.    /   revista@iccp.rimed.cu   /   www.cienciaspedagogicas.rimed.cu</w:t>
          </w:r>
        </w:p>
      </w:tc>
    </w:tr>
  </w:tbl>
  <w:p w14:paraId="000000E0" w14:textId="6E948937" w:rsidR="00CC7271" w:rsidRDefault="00FD3F8A">
    <w:pPr>
      <w:pBdr>
        <w:top w:val="nil"/>
        <w:left w:val="nil"/>
        <w:bottom w:val="nil"/>
        <w:right w:val="nil"/>
        <w:between w:val="nil"/>
      </w:pBdr>
      <w:tabs>
        <w:tab w:val="center" w:pos="4680"/>
        <w:tab w:val="right" w:pos="9360"/>
      </w:tabs>
      <w:spacing w:after="0" w:line="240" w:lineRule="auto"/>
      <w:jc w:val="center"/>
      <w:rPr>
        <w:smallCaps/>
        <w:color w:val="5B9BD5"/>
      </w:rPr>
    </w:pPr>
    <w:r>
      <w:rPr>
        <w:smallCaps/>
        <w:color w:val="5B9BD5"/>
      </w:rPr>
      <w:fldChar w:fldCharType="begin"/>
    </w:r>
    <w:r>
      <w:rPr>
        <w:smallCaps/>
        <w:color w:val="5B9BD5"/>
      </w:rPr>
      <w:instrText>PAGE</w:instrText>
    </w:r>
    <w:r>
      <w:rPr>
        <w:smallCaps/>
        <w:color w:val="5B9BD5"/>
      </w:rPr>
      <w:fldChar w:fldCharType="separate"/>
    </w:r>
    <w:r w:rsidR="00633EF9">
      <w:rPr>
        <w:smallCaps/>
        <w:noProof/>
        <w:color w:val="5B9BD5"/>
      </w:rPr>
      <w:t>326</w:t>
    </w:r>
    <w:r>
      <w:rPr>
        <w:smallCaps/>
        <w:color w:val="5B9BD5"/>
      </w:rPr>
      <w:fldChar w:fldCharType="end"/>
    </w:r>
  </w:p>
  <w:p w14:paraId="000000E1" w14:textId="77777777" w:rsidR="00CC7271" w:rsidRDefault="00CC7271">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0BE190A" w14:textId="77777777" w:rsidR="00D0346A" w:rsidRDefault="00D0346A">
      <w:pPr>
        <w:spacing w:after="0" w:line="240" w:lineRule="auto"/>
      </w:pPr>
      <w:r>
        <w:separator/>
      </w:r>
    </w:p>
  </w:footnote>
  <w:footnote w:type="continuationSeparator" w:id="0">
    <w:p w14:paraId="2F20703E" w14:textId="77777777" w:rsidR="00D0346A" w:rsidRDefault="00D0346A">
      <w:pPr>
        <w:spacing w:after="0" w:line="240" w:lineRule="auto"/>
      </w:pPr>
      <w:r>
        <w:continuationSeparator/>
      </w:r>
    </w:p>
  </w:footnote>
  <w:footnote w:id="1">
    <w:p w14:paraId="000000CF" w14:textId="77777777" w:rsidR="00CC7271" w:rsidRDefault="00FD3F8A">
      <w:pPr>
        <w:pBdr>
          <w:top w:val="nil"/>
          <w:left w:val="nil"/>
          <w:bottom w:val="nil"/>
          <w:right w:val="nil"/>
          <w:between w:val="nil"/>
        </w:pBdr>
        <w:spacing w:after="0" w:line="240" w:lineRule="auto"/>
        <w:rPr>
          <w:sz w:val="20"/>
          <w:szCs w:val="20"/>
        </w:rPr>
      </w:pPr>
      <w:r>
        <w:rPr>
          <w:vertAlign w:val="superscript"/>
        </w:rPr>
        <w:footnoteRef/>
      </w:r>
      <w:r>
        <w:rPr>
          <w:color w:val="000000"/>
          <w:sz w:val="20"/>
          <w:szCs w:val="20"/>
        </w:rPr>
        <w:t xml:space="preserve"> </w:t>
      </w:r>
      <w:r>
        <w:rPr>
          <w:sz w:val="20"/>
          <w:szCs w:val="20"/>
        </w:rPr>
        <w:t xml:space="preserve">Graduada en Educación Primaria e Infantil, y doctoranda en Educación. </w:t>
      </w:r>
    </w:p>
    <w:p w14:paraId="000000D0" w14:textId="711C902B" w:rsidR="00CC7271" w:rsidRDefault="00FD3F8A">
      <w:pPr>
        <w:pBdr>
          <w:top w:val="nil"/>
          <w:left w:val="nil"/>
          <w:bottom w:val="nil"/>
          <w:right w:val="nil"/>
          <w:between w:val="nil"/>
        </w:pBdr>
        <w:spacing w:after="0" w:line="240" w:lineRule="auto"/>
        <w:rPr>
          <w:sz w:val="20"/>
          <w:szCs w:val="20"/>
        </w:rPr>
      </w:pPr>
      <w:r>
        <w:rPr>
          <w:sz w:val="20"/>
          <w:szCs w:val="20"/>
        </w:rPr>
        <w:t xml:space="preserve">2 Graduada en Educación Infantil y doctoranda en Educación. </w:t>
      </w:r>
      <w:r w:rsidR="009E1EDE">
        <w:rPr>
          <w:sz w:val="20"/>
          <w:szCs w:val="20"/>
        </w:rPr>
        <w:t>Grupo de investigación HUM-878: Desarrollo humano e intervención socioeducativa. Departamento de Psicología. Universidad de Almería.</w:t>
      </w:r>
    </w:p>
    <w:p w14:paraId="000000D2" w14:textId="646BDDD7" w:rsidR="00CC7271" w:rsidRPr="009E1EDE" w:rsidRDefault="00FD3F8A">
      <w:pPr>
        <w:pBdr>
          <w:top w:val="nil"/>
          <w:left w:val="nil"/>
          <w:bottom w:val="nil"/>
          <w:right w:val="nil"/>
          <w:between w:val="nil"/>
        </w:pBdr>
        <w:spacing w:after="0" w:line="240" w:lineRule="auto"/>
        <w:rPr>
          <w:sz w:val="20"/>
          <w:szCs w:val="20"/>
        </w:rPr>
      </w:pPr>
      <w:r>
        <w:rPr>
          <w:sz w:val="20"/>
          <w:szCs w:val="20"/>
        </w:rPr>
        <w:t>3 Profesor titular de Universidad.</w:t>
      </w:r>
      <w:r w:rsidR="009E1EDE" w:rsidRPr="009E1EDE">
        <w:rPr>
          <w:sz w:val="20"/>
          <w:szCs w:val="20"/>
        </w:rPr>
        <w:t xml:space="preserve"> </w:t>
      </w:r>
      <w:r w:rsidR="009E1EDE">
        <w:rPr>
          <w:sz w:val="20"/>
          <w:szCs w:val="20"/>
        </w:rPr>
        <w:t>Grupo de investigación HUM-878: Desarrollo humano e intervención socioeducativa. Departamento de Psicología. Universidad de Almería.</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D3" w14:textId="77777777" w:rsidR="00CC7271" w:rsidRDefault="00CC7271">
    <w:pPr>
      <w:widowControl w:val="0"/>
      <w:pBdr>
        <w:top w:val="nil"/>
        <w:left w:val="nil"/>
        <w:bottom w:val="nil"/>
        <w:right w:val="nil"/>
        <w:between w:val="nil"/>
      </w:pBdr>
      <w:spacing w:after="0" w:line="276" w:lineRule="auto"/>
      <w:rPr>
        <w:sz w:val="24"/>
        <w:szCs w:val="24"/>
      </w:rPr>
    </w:pPr>
  </w:p>
  <w:tbl>
    <w:tblPr>
      <w:tblStyle w:val="Tablaconcuadrcula1"/>
      <w:tblW w:w="10166" w:type="dxa"/>
      <w:jc w:val="center"/>
      <w:tblBorders>
        <w:insideH w:val="none" w:sz="0" w:space="0" w:color="auto"/>
        <w:insideV w:val="none" w:sz="0" w:space="0" w:color="auto"/>
      </w:tblBorders>
      <w:tblLook w:val="04A0" w:firstRow="1" w:lastRow="0" w:firstColumn="1" w:lastColumn="0" w:noHBand="0" w:noVBand="1"/>
    </w:tblPr>
    <w:tblGrid>
      <w:gridCol w:w="5098"/>
      <w:gridCol w:w="5068"/>
    </w:tblGrid>
    <w:tr w:rsidR="00633EF9" w:rsidRPr="00633EF9" w14:paraId="32B8286C" w14:textId="77777777" w:rsidTr="005F79E2">
      <w:trPr>
        <w:trHeight w:val="769"/>
        <w:jc w:val="center"/>
      </w:trPr>
      <w:tc>
        <w:tcPr>
          <w:tcW w:w="5035" w:type="dxa"/>
          <w:tcMar>
            <w:top w:w="72" w:type="dxa"/>
            <w:left w:w="115" w:type="dxa"/>
            <w:bottom w:w="72" w:type="dxa"/>
            <w:right w:w="115" w:type="dxa"/>
          </w:tcMar>
          <w:vAlign w:val="center"/>
        </w:tcPr>
        <w:p w14:paraId="29956E18" w14:textId="77777777" w:rsidR="00633EF9" w:rsidRPr="00633EF9" w:rsidRDefault="00633EF9" w:rsidP="00633EF9">
          <w:pPr>
            <w:jc w:val="center"/>
            <w:rPr>
              <w:rFonts w:ascii="Arial" w:eastAsia="Times New Roman" w:hAnsi="Arial" w:cs="Arial"/>
              <w:b/>
              <w:sz w:val="28"/>
              <w:szCs w:val="24"/>
            </w:rPr>
          </w:pPr>
          <w:r w:rsidRPr="00633EF9">
            <w:rPr>
              <w:rFonts w:ascii="Times New Roman" w:eastAsia="Times New Roman" w:hAnsi="Times New Roman"/>
              <w:noProof/>
              <w:sz w:val="24"/>
              <w:szCs w:val="24"/>
            </w:rPr>
            <w:drawing>
              <wp:inline distT="0" distB="0" distL="0" distR="0" wp14:anchorId="5DF37FFD" wp14:editId="6181F50F">
                <wp:extent cx="3091218" cy="603072"/>
                <wp:effectExtent l="0" t="0" r="0" b="6985"/>
                <wp:docPr id="26" name="Imagen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Imagen 70"/>
                        <pic:cNvPicPr>
                          <a:picLocks noChangeAspect="1"/>
                        </pic:cNvPicPr>
                      </pic:nvPicPr>
                      <pic:blipFill>
                        <a:blip r:embed="rId1"/>
                        <a:stretch>
                          <a:fillRect/>
                        </a:stretch>
                      </pic:blipFill>
                      <pic:spPr>
                        <a:xfrm>
                          <a:off x="0" y="0"/>
                          <a:ext cx="3173395" cy="619104"/>
                        </a:xfrm>
                        <a:prstGeom prst="rect">
                          <a:avLst/>
                        </a:prstGeom>
                      </pic:spPr>
                    </pic:pic>
                  </a:graphicData>
                </a:graphic>
              </wp:inline>
            </w:drawing>
          </w:r>
        </w:p>
      </w:tc>
      <w:tc>
        <w:tcPr>
          <w:tcW w:w="5131" w:type="dxa"/>
          <w:shd w:val="clear" w:color="auto" w:fill="00B0F0"/>
          <w:tcMar>
            <w:top w:w="72" w:type="dxa"/>
            <w:left w:w="115" w:type="dxa"/>
            <w:bottom w:w="72" w:type="dxa"/>
            <w:right w:w="115" w:type="dxa"/>
          </w:tcMar>
          <w:vAlign w:val="center"/>
        </w:tcPr>
        <w:p w14:paraId="64AD48C9" w14:textId="77777777" w:rsidR="00633EF9" w:rsidRPr="00633EF9" w:rsidRDefault="00633EF9" w:rsidP="00633EF9">
          <w:pPr>
            <w:jc w:val="center"/>
            <w:rPr>
              <w:rFonts w:ascii="Times New Roman" w:eastAsia="Times New Roman" w:hAnsi="Times New Roman"/>
              <w:b/>
              <w:color w:val="FFFFFF"/>
              <w:sz w:val="20"/>
              <w:szCs w:val="24"/>
              <w:lang w:val="es-ES"/>
            </w:rPr>
          </w:pPr>
          <w:r w:rsidRPr="00633EF9">
            <w:rPr>
              <w:rFonts w:ascii="Times New Roman" w:eastAsia="Times New Roman" w:hAnsi="Times New Roman"/>
              <w:b/>
              <w:color w:val="FFFFFF"/>
              <w:sz w:val="20"/>
              <w:szCs w:val="24"/>
              <w:lang w:val="es-ES"/>
            </w:rPr>
            <w:t>ISSN: 1605 – 5888    RNPS: 1844</w:t>
          </w:r>
        </w:p>
        <w:p w14:paraId="66CE3E74" w14:textId="77777777" w:rsidR="00633EF9" w:rsidRPr="00633EF9" w:rsidRDefault="00633EF9" w:rsidP="00633EF9">
          <w:pPr>
            <w:jc w:val="center"/>
            <w:rPr>
              <w:rFonts w:ascii="Times New Roman" w:eastAsia="Times New Roman" w:hAnsi="Times New Roman"/>
              <w:b/>
              <w:color w:val="FFFFFF"/>
              <w:sz w:val="20"/>
              <w:szCs w:val="24"/>
              <w:lang w:val="es-ES"/>
            </w:rPr>
          </w:pPr>
          <w:r w:rsidRPr="00633EF9">
            <w:rPr>
              <w:rFonts w:ascii="Times New Roman" w:eastAsia="Times New Roman" w:hAnsi="Times New Roman"/>
              <w:b/>
              <w:color w:val="FFFFFF"/>
              <w:sz w:val="20"/>
              <w:szCs w:val="24"/>
              <w:lang w:val="es-ES"/>
            </w:rPr>
            <w:t xml:space="preserve">V.17. No.3 (septiembre-diciembre) Año 2024, 4ta Etapa </w:t>
          </w:r>
        </w:p>
        <w:p w14:paraId="113ED683" w14:textId="1B72F672" w:rsidR="00633EF9" w:rsidRPr="00633EF9" w:rsidRDefault="00633EF9" w:rsidP="00633EF9">
          <w:pPr>
            <w:jc w:val="center"/>
            <w:rPr>
              <w:rFonts w:ascii="Arial" w:eastAsia="Times New Roman" w:hAnsi="Arial" w:cs="Arial"/>
              <w:b/>
              <w:sz w:val="28"/>
              <w:szCs w:val="24"/>
            </w:rPr>
          </w:pPr>
          <w:proofErr w:type="spellStart"/>
          <w:r w:rsidRPr="00633EF9">
            <w:rPr>
              <w:rFonts w:ascii="Times New Roman" w:eastAsia="Times New Roman" w:hAnsi="Times New Roman"/>
              <w:b/>
              <w:color w:val="FFFFFF"/>
              <w:sz w:val="20"/>
              <w:szCs w:val="24"/>
            </w:rPr>
            <w:t>Pág</w:t>
          </w:r>
          <w:proofErr w:type="spellEnd"/>
          <w:r w:rsidRPr="00633EF9">
            <w:rPr>
              <w:rFonts w:ascii="Times New Roman" w:eastAsia="Times New Roman" w:hAnsi="Times New Roman"/>
              <w:b/>
              <w:color w:val="FFFFFF"/>
              <w:sz w:val="20"/>
              <w:szCs w:val="24"/>
            </w:rPr>
            <w:t xml:space="preserve">. </w:t>
          </w:r>
          <w:r>
            <w:rPr>
              <w:rFonts w:ascii="Times New Roman" w:eastAsia="Times New Roman" w:hAnsi="Times New Roman"/>
              <w:b/>
              <w:color w:val="FFFFFF"/>
              <w:sz w:val="20"/>
              <w:szCs w:val="24"/>
            </w:rPr>
            <w:t>311-326</w:t>
          </w:r>
        </w:p>
      </w:tc>
    </w:tr>
  </w:tbl>
  <w:p w14:paraId="000000D8" w14:textId="77777777" w:rsidR="00CC7271" w:rsidRDefault="00CC7271">
    <w:pPr>
      <w:pBdr>
        <w:top w:val="nil"/>
        <w:left w:val="nil"/>
        <w:bottom w:val="nil"/>
        <w:right w:val="nil"/>
        <w:between w:val="nil"/>
      </w:pBdr>
      <w:tabs>
        <w:tab w:val="center" w:pos="4680"/>
        <w:tab w:val="right" w:pos="9360"/>
      </w:tabs>
      <w:spacing w:after="0" w:line="240" w:lineRule="auto"/>
      <w:ind w:left="270"/>
      <w:rPr>
        <w:color w:val="000000"/>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03F28"/>
    <w:multiLevelType w:val="multilevel"/>
    <w:tmpl w:val="31EA4E4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embedTrueTypeFonts/>
  <w:proofState w:spelling="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7271"/>
    <w:rsid w:val="0019723F"/>
    <w:rsid w:val="003A51A7"/>
    <w:rsid w:val="003E4050"/>
    <w:rsid w:val="005054C5"/>
    <w:rsid w:val="0056631F"/>
    <w:rsid w:val="00633EF9"/>
    <w:rsid w:val="006B59AC"/>
    <w:rsid w:val="009E1EDE"/>
    <w:rsid w:val="00CC7271"/>
    <w:rsid w:val="00CD1FAE"/>
    <w:rsid w:val="00D0346A"/>
    <w:rsid w:val="00F9731A"/>
    <w:rsid w:val="00FD3F8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AAC0D1C"/>
  <w15:docId w15:val="{8EA8BD76-34FB-45DD-A54D-E21858F0EA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s-ES" w:eastAsia="es-E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1"/>
    <w:tblPr>
      <w:tblCellMar>
        <w:top w:w="0" w:type="dxa"/>
        <w:left w:w="0" w:type="dxa"/>
        <w:bottom w:w="0" w:type="dxa"/>
        <w:right w:w="0" w:type="dxa"/>
      </w:tblCellMar>
    </w:tblPr>
  </w:style>
  <w:style w:type="table" w:styleId="Tablaconcuadrcula">
    <w:name w:val="Table Grid"/>
    <w:basedOn w:val="Tablanormal"/>
    <w:uiPriority w:val="39"/>
    <w:rsid w:val="00531D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531D56"/>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531D56"/>
    <w:rPr>
      <w:lang w:val="es-ES"/>
    </w:rPr>
  </w:style>
  <w:style w:type="paragraph" w:styleId="Piedepgina">
    <w:name w:val="footer"/>
    <w:basedOn w:val="Normal"/>
    <w:link w:val="PiedepginaCar"/>
    <w:uiPriority w:val="99"/>
    <w:unhideWhenUsed/>
    <w:rsid w:val="00531D56"/>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531D56"/>
    <w:rPr>
      <w:lang w:val="es-ES"/>
    </w:rPr>
  </w:style>
  <w:style w:type="character" w:styleId="Hipervnculo">
    <w:name w:val="Hyperlink"/>
    <w:basedOn w:val="Fuentedeprrafopredeter"/>
    <w:uiPriority w:val="99"/>
    <w:unhideWhenUsed/>
    <w:rsid w:val="007C1741"/>
    <w:rPr>
      <w:color w:val="0563C1" w:themeColor="hyperlink"/>
      <w:u w:val="single"/>
    </w:rPr>
  </w:style>
  <w:style w:type="paragraph" w:styleId="Prrafodelista">
    <w:name w:val="List Paragraph"/>
    <w:basedOn w:val="Normal"/>
    <w:uiPriority w:val="34"/>
    <w:qFormat/>
    <w:rsid w:val="00975652"/>
    <w:pPr>
      <w:ind w:left="720"/>
      <w:contextualSpacing/>
    </w:p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anormal"/>
    <w:pPr>
      <w:spacing w:after="0" w:line="240" w:lineRule="auto"/>
    </w:pPr>
    <w:tblPr>
      <w:tblStyleRowBandSize w:val="1"/>
      <w:tblStyleColBandSize w:val="1"/>
    </w:tblPr>
  </w:style>
  <w:style w:type="table" w:customStyle="1" w:styleId="a0">
    <w:basedOn w:val="Tablanormal"/>
    <w:tblPr>
      <w:tblStyleRowBandSize w:val="1"/>
      <w:tblStyleColBandSize w:val="1"/>
      <w:tblCellMar>
        <w:top w:w="100" w:type="dxa"/>
        <w:left w:w="100" w:type="dxa"/>
        <w:bottom w:w="100" w:type="dxa"/>
        <w:right w:w="100" w:type="dxa"/>
      </w:tblCellMar>
    </w:tblPr>
  </w:style>
  <w:style w:type="table" w:customStyle="1" w:styleId="a1">
    <w:basedOn w:val="Tablanormal"/>
    <w:tblPr>
      <w:tblStyleRowBandSize w:val="1"/>
      <w:tblStyleColBandSize w:val="1"/>
      <w:tblCellMar>
        <w:top w:w="100" w:type="dxa"/>
        <w:left w:w="100" w:type="dxa"/>
        <w:bottom w:w="100" w:type="dxa"/>
        <w:right w:w="100" w:type="dxa"/>
      </w:tblCellMar>
    </w:tblPr>
  </w:style>
  <w:style w:type="table" w:customStyle="1" w:styleId="a2">
    <w:basedOn w:val="Tablanormal"/>
    <w:pPr>
      <w:spacing w:after="0" w:line="240" w:lineRule="auto"/>
    </w:pPr>
    <w:tblPr>
      <w:tblStyleRowBandSize w:val="1"/>
      <w:tblStyleColBandSize w:val="1"/>
    </w:tblPr>
  </w:style>
  <w:style w:type="table" w:customStyle="1" w:styleId="a3">
    <w:basedOn w:val="Tablanormal"/>
    <w:pPr>
      <w:spacing w:after="0" w:line="240" w:lineRule="auto"/>
    </w:pPr>
    <w:tblPr>
      <w:tblStyleRowBandSize w:val="1"/>
      <w:tblStyleColBandSize w:val="1"/>
    </w:tblPr>
  </w:style>
  <w:style w:type="paragraph" w:styleId="Textonotapie">
    <w:name w:val="footnote text"/>
    <w:basedOn w:val="Normal"/>
    <w:link w:val="TextonotapieCar"/>
    <w:uiPriority w:val="99"/>
    <w:semiHidden/>
    <w:unhideWhenUsed/>
    <w:rsid w:val="006B79B0"/>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6B79B0"/>
    <w:rPr>
      <w:sz w:val="20"/>
      <w:szCs w:val="20"/>
    </w:rPr>
  </w:style>
  <w:style w:type="character" w:styleId="Refdenotaalpie">
    <w:name w:val="footnote reference"/>
    <w:basedOn w:val="Fuentedeprrafopredeter"/>
    <w:uiPriority w:val="99"/>
    <w:semiHidden/>
    <w:unhideWhenUsed/>
    <w:rsid w:val="006B79B0"/>
    <w:rPr>
      <w:vertAlign w:val="superscript"/>
    </w:rPr>
  </w:style>
  <w:style w:type="character" w:styleId="Refdecomentario">
    <w:name w:val="annotation reference"/>
    <w:basedOn w:val="Fuentedeprrafopredeter"/>
    <w:uiPriority w:val="99"/>
    <w:semiHidden/>
    <w:unhideWhenUsed/>
    <w:rsid w:val="006B79B0"/>
    <w:rPr>
      <w:sz w:val="16"/>
      <w:szCs w:val="16"/>
    </w:rPr>
  </w:style>
  <w:style w:type="paragraph" w:styleId="Textocomentario">
    <w:name w:val="annotation text"/>
    <w:basedOn w:val="Normal"/>
    <w:link w:val="TextocomentarioCar"/>
    <w:uiPriority w:val="99"/>
    <w:unhideWhenUsed/>
    <w:rsid w:val="006B79B0"/>
    <w:pPr>
      <w:spacing w:line="240" w:lineRule="auto"/>
    </w:pPr>
    <w:rPr>
      <w:sz w:val="20"/>
      <w:szCs w:val="20"/>
    </w:rPr>
  </w:style>
  <w:style w:type="character" w:customStyle="1" w:styleId="TextocomentarioCar">
    <w:name w:val="Texto comentario Car"/>
    <w:basedOn w:val="Fuentedeprrafopredeter"/>
    <w:link w:val="Textocomentario"/>
    <w:uiPriority w:val="99"/>
    <w:rsid w:val="006B79B0"/>
    <w:rPr>
      <w:sz w:val="20"/>
      <w:szCs w:val="20"/>
    </w:rPr>
  </w:style>
  <w:style w:type="paragraph" w:styleId="Asuntodelcomentario">
    <w:name w:val="annotation subject"/>
    <w:basedOn w:val="Textocomentario"/>
    <w:next w:val="Textocomentario"/>
    <w:link w:val="AsuntodelcomentarioCar"/>
    <w:uiPriority w:val="99"/>
    <w:semiHidden/>
    <w:unhideWhenUsed/>
    <w:rsid w:val="006B79B0"/>
    <w:rPr>
      <w:b/>
      <w:bCs/>
    </w:rPr>
  </w:style>
  <w:style w:type="character" w:customStyle="1" w:styleId="AsuntodelcomentarioCar">
    <w:name w:val="Asunto del comentario Car"/>
    <w:basedOn w:val="TextocomentarioCar"/>
    <w:link w:val="Asuntodelcomentario"/>
    <w:uiPriority w:val="99"/>
    <w:semiHidden/>
    <w:rsid w:val="006B79B0"/>
    <w:rPr>
      <w:b/>
      <w:bCs/>
      <w:sz w:val="20"/>
      <w:szCs w:val="20"/>
    </w:rPr>
  </w:style>
  <w:style w:type="paragraph" w:styleId="Textodeglobo">
    <w:name w:val="Balloon Text"/>
    <w:basedOn w:val="Normal"/>
    <w:link w:val="TextodegloboCar"/>
    <w:uiPriority w:val="99"/>
    <w:semiHidden/>
    <w:unhideWhenUsed/>
    <w:rsid w:val="00FF5298"/>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FF5298"/>
    <w:rPr>
      <w:rFonts w:ascii="Segoe UI" w:hAnsi="Segoe UI" w:cs="Segoe UI"/>
      <w:sz w:val="18"/>
      <w:szCs w:val="18"/>
    </w:rPr>
  </w:style>
  <w:style w:type="table" w:customStyle="1" w:styleId="a4">
    <w:basedOn w:val="TableNormal0"/>
    <w:pPr>
      <w:spacing w:after="0" w:line="240" w:lineRule="auto"/>
    </w:pPr>
    <w:tblPr>
      <w:tblStyleRowBandSize w:val="1"/>
      <w:tblStyleColBandSize w:val="1"/>
      <w:tblCellMar>
        <w:top w:w="100" w:type="dxa"/>
        <w:left w:w="100" w:type="dxa"/>
        <w:bottom w:w="100" w:type="dxa"/>
        <w:right w:w="100" w:type="dxa"/>
      </w:tblCellMar>
    </w:tblPr>
  </w:style>
  <w:style w:type="table" w:customStyle="1" w:styleId="a5">
    <w:basedOn w:val="TableNormal0"/>
    <w:pPr>
      <w:spacing w:after="0" w:line="240" w:lineRule="auto"/>
    </w:pPr>
    <w:tblPr>
      <w:tblStyleRowBandSize w:val="1"/>
      <w:tblStyleColBandSize w:val="1"/>
      <w:tblCellMar>
        <w:top w:w="100" w:type="dxa"/>
        <w:left w:w="100" w:type="dxa"/>
        <w:bottom w:w="100" w:type="dxa"/>
        <w:right w:w="100" w:type="dxa"/>
      </w:tblCellMar>
    </w:tblPr>
  </w:style>
  <w:style w:type="table" w:customStyle="1" w:styleId="a6">
    <w:basedOn w:val="TableNormal0"/>
    <w:pPr>
      <w:spacing w:after="0" w:line="240" w:lineRule="auto"/>
    </w:pPr>
    <w:tblPr>
      <w:tblStyleRowBandSize w:val="1"/>
      <w:tblStyleColBandSize w:val="1"/>
      <w:tblCellMar>
        <w:top w:w="100" w:type="dxa"/>
        <w:left w:w="100" w:type="dxa"/>
        <w:bottom w:w="100" w:type="dxa"/>
        <w:right w:w="100" w:type="dxa"/>
      </w:tblCellMar>
    </w:tblPr>
  </w:style>
  <w:style w:type="table" w:customStyle="1" w:styleId="a7">
    <w:basedOn w:val="TableNormal0"/>
    <w:pPr>
      <w:spacing w:after="0" w:line="240" w:lineRule="auto"/>
    </w:pPr>
    <w:tblPr>
      <w:tblStyleRowBandSize w:val="1"/>
      <w:tblStyleColBandSize w:val="1"/>
      <w:tblCellMar>
        <w:top w:w="100" w:type="dxa"/>
        <w:left w:w="100" w:type="dxa"/>
        <w:bottom w:w="100" w:type="dxa"/>
        <w:right w:w="100" w:type="dxa"/>
      </w:tblCellMar>
    </w:tblPr>
  </w:style>
  <w:style w:type="table" w:customStyle="1" w:styleId="a8">
    <w:basedOn w:val="TableNormal0"/>
    <w:pPr>
      <w:spacing w:after="0" w:line="240" w:lineRule="auto"/>
    </w:pPr>
    <w:tblPr>
      <w:tblStyleRowBandSize w:val="1"/>
      <w:tblStyleColBandSize w:val="1"/>
      <w:tblCellMar>
        <w:top w:w="100" w:type="dxa"/>
        <w:left w:w="100" w:type="dxa"/>
        <w:bottom w:w="100" w:type="dxa"/>
        <w:right w:w="100" w:type="dxa"/>
      </w:tblCellMar>
    </w:tblPr>
  </w:style>
  <w:style w:type="table" w:customStyle="1" w:styleId="a9">
    <w:basedOn w:val="TableNormal0"/>
    <w:pPr>
      <w:spacing w:after="0" w:line="240" w:lineRule="auto"/>
    </w:pPr>
    <w:tblPr>
      <w:tblStyleRowBandSize w:val="1"/>
      <w:tblStyleColBandSize w:val="1"/>
      <w:tblCellMar>
        <w:top w:w="100" w:type="dxa"/>
        <w:left w:w="100" w:type="dxa"/>
        <w:bottom w:w="100" w:type="dxa"/>
        <w:right w:w="100" w:type="dxa"/>
      </w:tblCellMar>
    </w:tblPr>
  </w:style>
  <w:style w:type="table" w:customStyle="1" w:styleId="aa">
    <w:basedOn w:val="TableNormal0"/>
    <w:pPr>
      <w:spacing w:after="0" w:line="240" w:lineRule="auto"/>
    </w:pPr>
    <w:tblPr>
      <w:tblStyleRowBandSize w:val="1"/>
      <w:tblStyleColBandSize w:val="1"/>
      <w:tblCellMar>
        <w:top w:w="100" w:type="dxa"/>
        <w:left w:w="100" w:type="dxa"/>
        <w:bottom w:w="100" w:type="dxa"/>
        <w:right w:w="100" w:type="dxa"/>
      </w:tblCellMar>
    </w:tblPr>
  </w:style>
  <w:style w:type="table" w:customStyle="1" w:styleId="ab">
    <w:basedOn w:val="TableNormal0"/>
    <w:pPr>
      <w:spacing w:after="0" w:line="240" w:lineRule="auto"/>
    </w:pPr>
    <w:tblPr>
      <w:tblStyleRowBandSize w:val="1"/>
      <w:tblStyleColBandSize w:val="1"/>
      <w:tblCellMar>
        <w:top w:w="100" w:type="dxa"/>
        <w:left w:w="100" w:type="dxa"/>
        <w:bottom w:w="100" w:type="dxa"/>
        <w:right w:w="100" w:type="dxa"/>
      </w:tblCellMar>
    </w:tblPr>
  </w:style>
  <w:style w:type="table" w:customStyle="1" w:styleId="ac">
    <w:basedOn w:val="TableNormal0"/>
    <w:pPr>
      <w:spacing w:after="0" w:line="240" w:lineRule="auto"/>
    </w:pPr>
    <w:tblPr>
      <w:tblStyleRowBandSize w:val="1"/>
      <w:tblStyleColBandSize w:val="1"/>
      <w:tblCellMar>
        <w:top w:w="100" w:type="dxa"/>
        <w:left w:w="100" w:type="dxa"/>
        <w:bottom w:w="100" w:type="dxa"/>
        <w:right w:w="100" w:type="dxa"/>
      </w:tblCellMar>
    </w:tblPr>
  </w:style>
  <w:style w:type="table" w:customStyle="1" w:styleId="ad">
    <w:basedOn w:val="TableNormal0"/>
    <w:pPr>
      <w:spacing w:after="0" w:line="240" w:lineRule="auto"/>
    </w:pPr>
    <w:tblPr>
      <w:tblStyleRowBandSize w:val="1"/>
      <w:tblStyleColBandSize w:val="1"/>
      <w:tblCellMar>
        <w:top w:w="100" w:type="dxa"/>
        <w:left w:w="100" w:type="dxa"/>
        <w:bottom w:w="100" w:type="dxa"/>
        <w:right w:w="100" w:type="dxa"/>
      </w:tblCellMar>
    </w:tblPr>
  </w:style>
  <w:style w:type="table" w:customStyle="1" w:styleId="ae">
    <w:basedOn w:val="TableNormal0"/>
    <w:pPr>
      <w:spacing w:after="0" w:line="240" w:lineRule="auto"/>
    </w:pPr>
    <w:tblPr>
      <w:tblStyleRowBandSize w:val="1"/>
      <w:tblStyleColBandSize w:val="1"/>
      <w:tblCellMar>
        <w:top w:w="100" w:type="dxa"/>
        <w:left w:w="100" w:type="dxa"/>
        <w:bottom w:w="100" w:type="dxa"/>
        <w:right w:w="100" w:type="dxa"/>
      </w:tblCellMar>
    </w:tblPr>
  </w:style>
  <w:style w:type="table" w:customStyle="1" w:styleId="af">
    <w:basedOn w:val="TableNormal0"/>
    <w:pPr>
      <w:spacing w:after="0" w:line="240" w:lineRule="auto"/>
    </w:pPr>
    <w:tblPr>
      <w:tblStyleRowBandSize w:val="1"/>
      <w:tblStyleColBandSize w:val="1"/>
      <w:tblCellMar>
        <w:top w:w="100" w:type="dxa"/>
        <w:left w:w="100" w:type="dxa"/>
        <w:bottom w:w="100" w:type="dxa"/>
        <w:right w:w="100" w:type="dxa"/>
      </w:tblCellMar>
    </w:tblPr>
  </w:style>
  <w:style w:type="table" w:customStyle="1" w:styleId="Tablaconcuadrcula1">
    <w:name w:val="Tabla con cuadrícula1"/>
    <w:basedOn w:val="Tablanormal"/>
    <w:next w:val="Tablaconcuadrcula"/>
    <w:uiPriority w:val="39"/>
    <w:rsid w:val="00633EF9"/>
    <w:pPr>
      <w:spacing w:after="0" w:line="240" w:lineRule="auto"/>
    </w:pPr>
    <w:rPr>
      <w:rFonts w:ascii="Aptos" w:eastAsia="Aptos" w:hAnsi="Aptos" w:cs="Times New Roman"/>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13" Type="http://schemas.openxmlformats.org/officeDocument/2006/relationships/hyperlink" Target="mailto:jmaguilar@ual.es" TargetMode="External"/><Relationship Id="rId18" Type="http://schemas.openxmlformats.org/officeDocument/2006/relationships/hyperlink" Target="https://raco.cat/" TargetMode="External"/><Relationship Id="rId26" Type="http://schemas.openxmlformats.org/officeDocument/2006/relationships/hyperlink" Target="https://doi.org/10.14221/ajte.2016v41n3.3" TargetMode="External"/><Relationship Id="rId39" Type="http://schemas.openxmlformats.org/officeDocument/2006/relationships/hyperlink" Target="https://www.educaweb.com/noticia/2017/07/26/breakoutedu-microgamificacion-aprendizaje-significativo-15068/" TargetMode="External"/><Relationship Id="rId21" Type="http://schemas.openxmlformats.org/officeDocument/2006/relationships/hyperlink" Target="https://raco.cat/index.php/" TargetMode="External"/><Relationship Id="rId34" Type="http://schemas.openxmlformats.org/officeDocument/2006/relationships/hyperlink" Target="https://doi.org/10.37811/cl_rcm.v5i2.383" TargetMode="External"/><Relationship Id="rId42" Type="http://schemas.openxmlformats.org/officeDocument/2006/relationships/hyperlink" Target="https://hdl.handle.net/10630/19157" TargetMode="External"/><Relationship Id="rId47" Type="http://schemas.openxmlformats.org/officeDocument/2006/relationships/footer" Target="foot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3.png"/><Relationship Id="rId29" Type="http://schemas.openxmlformats.org/officeDocument/2006/relationships/hyperlink" Target="https://doi.org/10.3102/0013189x09339057" TargetMode="External"/><Relationship Id="rId11" Type="http://schemas.openxmlformats.org/officeDocument/2006/relationships/hyperlink" Target="mailto:map618@ual.es" TargetMode="External"/><Relationship Id="rId24" Type="http://schemas.openxmlformats.org/officeDocument/2006/relationships/hyperlink" Target="http://hdl.handle.net/10481/48740" TargetMode="External"/><Relationship Id="rId32" Type="http://schemas.openxmlformats.org/officeDocument/2006/relationships/hyperlink" Target="https://dialnet.unirioja.es/servlet/libro?codigo=746552&amp;orden=0&amp;info=open_link_libro" TargetMode="External"/><Relationship Id="rId37" Type="http://schemas.openxmlformats.org/officeDocument/2006/relationships/hyperlink" Target="https://doi.org/10.30827/eticanet.v20i1.15524" TargetMode="External"/><Relationship Id="rId40" Type="http://schemas.openxmlformats.org/officeDocument/2006/relationships/hyperlink" Target="https://hdl.handle.net/10630/20345" TargetMode="External"/><Relationship Id="rId45" Type="http://schemas.openxmlformats.org/officeDocument/2006/relationships/hyperlink" Target="https://doi.org/10.46498/reduipb.v24i1.1226" TargetMode="Externa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hyperlink" Target="https://uvadoc.uva.es/bitstream/handle/10324/68529/TFG-B.%202140.pdf?sequence=1&amp;isAllowed=y" TargetMode="External"/><Relationship Id="rId28" Type="http://schemas.openxmlformats.org/officeDocument/2006/relationships/hyperlink" Target="https://uvadoc.uva.es/handle/10324/59849" TargetMode="External"/><Relationship Id="rId36" Type="http://schemas.openxmlformats.org/officeDocument/2006/relationships/hyperlink" Target="https://doi.org/10.1186/s40723-021-00084-8" TargetMode="External"/><Relationship Id="rId49" Type="http://schemas.openxmlformats.org/officeDocument/2006/relationships/theme" Target="theme/theme1.xml"/><Relationship Id="rId10" Type="http://schemas.openxmlformats.org/officeDocument/2006/relationships/hyperlink" Target="https://orcid.org/0000-0001-9435-777X" TargetMode="External"/><Relationship Id="rId19" Type="http://schemas.openxmlformats.org/officeDocument/2006/relationships/hyperlink" Target="https://raco.cat/" TargetMode="External"/><Relationship Id="rId31" Type="http://schemas.openxmlformats.org/officeDocument/2006/relationships/hyperlink" Target="https://doi.org/10.1016/j.envres.2018.01.015" TargetMode="External"/><Relationship Id="rId44" Type="http://schemas.openxmlformats.org/officeDocument/2006/relationships/hyperlink" Target="https://revistascientificas.us.es/index.php/fuentes/article/view/2437" TargetMode="External"/><Relationship Id="rId4" Type="http://schemas.openxmlformats.org/officeDocument/2006/relationships/settings" Target="settings.xml"/><Relationship Id="rId9" Type="http://schemas.openxmlformats.org/officeDocument/2006/relationships/hyperlink" Target="mailto:rcs953@ual.es" TargetMode="External"/><Relationship Id="rId14" Type="http://schemas.openxmlformats.org/officeDocument/2006/relationships/hyperlink" Target="https://orcid.org/0000-0002-6703-0680" TargetMode="External"/><Relationship Id="rId22" Type="http://schemas.openxmlformats.org/officeDocument/2006/relationships/hyperlink" Target="https://raco.cat/index.php/" TargetMode="External"/><Relationship Id="rId27" Type="http://schemas.openxmlformats.org/officeDocument/2006/relationships/hyperlink" Target="http://scielo.sld.cu/scielo.php?script=sci_arttext&amp;pid=S156131942014000100012&amp;lng=es&amp;tlng=es" TargetMode="External"/><Relationship Id="rId30" Type="http://schemas.openxmlformats.org/officeDocument/2006/relationships/hyperlink" Target="https://pistaseducativas.celaya.tecnm" TargetMode="External"/><Relationship Id="rId35" Type="http://schemas.openxmlformats.org/officeDocument/2006/relationships/hyperlink" Target="https://doi.org/10.6035/Sapientia127" TargetMode="External"/><Relationship Id="rId43" Type="http://schemas.openxmlformats.org/officeDocument/2006/relationships/hyperlink" Target="https://doi.org/10.47197/retos.v55.105256" TargetMode="External"/><Relationship Id="rId48" Type="http://schemas.openxmlformats.org/officeDocument/2006/relationships/fontTable" Target="fontTable.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hyperlink" Target="https://orcid.org/0009-0008-3323-124X" TargetMode="External"/><Relationship Id="rId17" Type="http://schemas.openxmlformats.org/officeDocument/2006/relationships/hyperlink" Target="https://doi.org/10.15366/didacticas2022.27.005" TargetMode="External"/><Relationship Id="rId25" Type="http://schemas.openxmlformats.org/officeDocument/2006/relationships/hyperlink" Target="https://doi.org/10.1016/j.sbspro.2011.04.006" TargetMode="External"/><Relationship Id="rId33" Type="http://schemas.openxmlformats.org/officeDocument/2006/relationships/hyperlink" Target="https://crea.ujaen.es/bitstream/10953.1/8862/1/LUCENA_FERNNDEZ_ISABEL_TFM_FOL.pdf" TargetMode="External"/><Relationship Id="rId38" Type="http://schemas.openxmlformats.org/officeDocument/2006/relationships/hyperlink" Target="https://www.educaweb.com/noticia/2017/07/26/breakoutedu-microgamificacion-aprendizaje-significativo-15068/" TargetMode="External"/><Relationship Id="rId46" Type="http://schemas.openxmlformats.org/officeDocument/2006/relationships/header" Target="header1.xml"/><Relationship Id="rId20" Type="http://schemas.openxmlformats.org/officeDocument/2006/relationships/hyperlink" Target="https://doi.org/10.1038/srep46104" TargetMode="External"/><Relationship Id="rId41" Type="http://schemas.openxmlformats.org/officeDocument/2006/relationships/hyperlink" Target="https://doi.org/10.1344/did.2022.11.xx-xx" TargetMode="External"/><Relationship Id="rId1" Type="http://schemas.openxmlformats.org/officeDocument/2006/relationships/customXml" Target="../customXml/item1.xml"/><Relationship Id="rId6" Type="http://schemas.openxmlformats.org/officeDocument/2006/relationships/footnotes" Target="footnot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YvxrmQr5e5iNopDFkJB3ua8ewDw==">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16</Pages>
  <Words>4043</Words>
  <Characters>23048</Characters>
  <Application>Microsoft Office Word</Application>
  <DocSecurity>0</DocSecurity>
  <Lines>192</Lines>
  <Paragraphs>54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27037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12</cp:revision>
  <cp:lastPrinted>2024-12-01T16:45:00Z</cp:lastPrinted>
  <dcterms:created xsi:type="dcterms:W3CDTF">2024-08-14T14:04:00Z</dcterms:created>
  <dcterms:modified xsi:type="dcterms:W3CDTF">2024-12-01T16:45:00Z</dcterms:modified>
</cp:coreProperties>
</file>