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222A3" w14:textId="036F0045" w:rsidR="00BA3BC5" w:rsidRPr="00F0208B" w:rsidRDefault="00C23B93" w:rsidP="005D4DBA">
      <w:pPr>
        <w:spacing w:line="360" w:lineRule="auto"/>
        <w:jc w:val="both"/>
        <w:rPr>
          <w:rFonts w:ascii="Times New Roman" w:hAnsi="Times New Roman" w:cs="Times New Roman"/>
          <w:sz w:val="24"/>
          <w:szCs w:val="24"/>
        </w:rPr>
      </w:pPr>
      <w:r w:rsidRPr="00F0208B">
        <w:rPr>
          <w:rFonts w:ascii="Times New Roman" w:hAnsi="Times New Roman" w:cs="Times New Roman"/>
          <w:sz w:val="24"/>
          <w:szCs w:val="24"/>
        </w:rPr>
        <w:t xml:space="preserve">           </w:t>
      </w:r>
      <w:r w:rsidR="00733AC1">
        <w:rPr>
          <w:rFonts w:ascii="Times New Roman" w:hAnsi="Times New Roman" w:cs="Times New Roman"/>
          <w:sz w:val="24"/>
          <w:szCs w:val="24"/>
        </w:rPr>
        <w:t xml:space="preserve">    </w:t>
      </w:r>
    </w:p>
    <w:p w14:paraId="388774A8" w14:textId="6FC59A76" w:rsidR="001C4220" w:rsidRPr="00F0208B" w:rsidRDefault="00BA3BC5" w:rsidP="005D4DBA">
      <w:pPr>
        <w:spacing w:line="360" w:lineRule="auto"/>
        <w:jc w:val="both"/>
        <w:rPr>
          <w:rFonts w:ascii="Times New Roman" w:hAnsi="Times New Roman" w:cs="Times New Roman"/>
          <w:sz w:val="24"/>
          <w:szCs w:val="24"/>
        </w:rPr>
      </w:pPr>
      <w:r w:rsidRPr="00F0208B">
        <w:rPr>
          <w:rFonts w:ascii="Times New Roman" w:hAnsi="Times New Roman" w:cs="Times New Roman"/>
          <w:sz w:val="24"/>
          <w:szCs w:val="24"/>
        </w:rPr>
        <w:t>E</w:t>
      </w:r>
      <w:r w:rsidR="00602154" w:rsidRPr="00F0208B">
        <w:rPr>
          <w:rFonts w:ascii="Times New Roman" w:hAnsi="Times New Roman" w:cs="Times New Roman"/>
          <w:sz w:val="24"/>
          <w:szCs w:val="24"/>
        </w:rPr>
        <w:t xml:space="preserve">n el contexto de la celebración del 49 Aniversario </w:t>
      </w:r>
      <w:r w:rsidRPr="00F0208B">
        <w:rPr>
          <w:rFonts w:ascii="Times New Roman" w:hAnsi="Times New Roman" w:cs="Times New Roman"/>
          <w:sz w:val="24"/>
          <w:szCs w:val="24"/>
        </w:rPr>
        <w:t>del</w:t>
      </w:r>
      <w:r w:rsidR="00602154" w:rsidRPr="00F0208B">
        <w:rPr>
          <w:rFonts w:ascii="Times New Roman" w:hAnsi="Times New Roman" w:cs="Times New Roman"/>
          <w:sz w:val="24"/>
          <w:szCs w:val="24"/>
        </w:rPr>
        <w:t xml:space="preserve"> Ins</w:t>
      </w:r>
      <w:bookmarkStart w:id="0" w:name="_GoBack"/>
      <w:bookmarkEnd w:id="0"/>
      <w:r w:rsidR="00602154" w:rsidRPr="00F0208B">
        <w:rPr>
          <w:rFonts w:ascii="Times New Roman" w:hAnsi="Times New Roman" w:cs="Times New Roman"/>
          <w:sz w:val="24"/>
          <w:szCs w:val="24"/>
        </w:rPr>
        <w:t>tituto Central de Ciencias Pedagógicas</w:t>
      </w:r>
      <w:r w:rsidRPr="00F0208B">
        <w:rPr>
          <w:rFonts w:ascii="Times New Roman" w:hAnsi="Times New Roman" w:cs="Times New Roman"/>
          <w:sz w:val="24"/>
          <w:szCs w:val="24"/>
        </w:rPr>
        <w:t xml:space="preserve"> abrimos el debate sobre temáticas que generan nuevos diálogos entre </w:t>
      </w:r>
      <w:r w:rsidR="007036BA" w:rsidRPr="00F0208B">
        <w:rPr>
          <w:rFonts w:ascii="Times New Roman" w:hAnsi="Times New Roman" w:cs="Times New Roman"/>
          <w:sz w:val="24"/>
          <w:szCs w:val="24"/>
        </w:rPr>
        <w:t>nuestros lectores</w:t>
      </w:r>
      <w:r w:rsidRPr="00F0208B">
        <w:rPr>
          <w:rFonts w:ascii="Times New Roman" w:hAnsi="Times New Roman" w:cs="Times New Roman"/>
          <w:sz w:val="24"/>
          <w:szCs w:val="24"/>
        </w:rPr>
        <w:t xml:space="preserve">. Compartimos en este número </w:t>
      </w:r>
      <w:r w:rsidR="00812865">
        <w:rPr>
          <w:rFonts w:ascii="Times New Roman" w:hAnsi="Times New Roman" w:cs="Times New Roman"/>
          <w:sz w:val="24"/>
          <w:szCs w:val="24"/>
        </w:rPr>
        <w:t>3 del año 2024</w:t>
      </w:r>
      <w:r w:rsidRPr="00F0208B">
        <w:rPr>
          <w:rFonts w:ascii="Times New Roman" w:hAnsi="Times New Roman" w:cs="Times New Roman"/>
          <w:sz w:val="24"/>
          <w:szCs w:val="24"/>
        </w:rPr>
        <w:t xml:space="preserve"> nuevas propuestas sobre la enseñanza del idioma español como </w:t>
      </w:r>
      <w:r w:rsidR="00A646F2" w:rsidRPr="00F0208B">
        <w:rPr>
          <w:rFonts w:ascii="Times New Roman" w:hAnsi="Times New Roman" w:cs="Times New Roman"/>
          <w:sz w:val="24"/>
          <w:szCs w:val="24"/>
        </w:rPr>
        <w:t>lengua extranjera</w:t>
      </w:r>
      <w:r w:rsidRPr="00F0208B">
        <w:rPr>
          <w:rFonts w:ascii="Times New Roman" w:hAnsi="Times New Roman" w:cs="Times New Roman"/>
          <w:sz w:val="24"/>
          <w:szCs w:val="24"/>
        </w:rPr>
        <w:t>, la importancia del conocimiento gramatical</w:t>
      </w:r>
      <w:r w:rsidR="00A646F2" w:rsidRPr="00F0208B">
        <w:rPr>
          <w:rFonts w:ascii="Times New Roman" w:hAnsi="Times New Roman" w:cs="Times New Roman"/>
          <w:sz w:val="24"/>
          <w:szCs w:val="24"/>
        </w:rPr>
        <w:t>,</w:t>
      </w:r>
      <w:r w:rsidRPr="00F0208B">
        <w:rPr>
          <w:rFonts w:ascii="Times New Roman" w:hAnsi="Times New Roman" w:cs="Times New Roman"/>
          <w:sz w:val="24"/>
          <w:szCs w:val="24"/>
        </w:rPr>
        <w:t xml:space="preserve"> </w:t>
      </w:r>
      <w:r w:rsidR="00A646F2" w:rsidRPr="00F0208B">
        <w:rPr>
          <w:rFonts w:ascii="Times New Roman" w:hAnsi="Times New Roman" w:cs="Times New Roman"/>
          <w:sz w:val="24"/>
          <w:szCs w:val="24"/>
        </w:rPr>
        <w:t>así</w:t>
      </w:r>
      <w:r w:rsidRPr="00F0208B">
        <w:rPr>
          <w:rFonts w:ascii="Times New Roman" w:hAnsi="Times New Roman" w:cs="Times New Roman"/>
          <w:sz w:val="24"/>
          <w:szCs w:val="24"/>
        </w:rPr>
        <w:t xml:space="preserve"> como la didáctica de tan importante proceso. </w:t>
      </w:r>
    </w:p>
    <w:p w14:paraId="7B2A345F" w14:textId="0ED6AB99" w:rsidR="00A646F2" w:rsidRPr="00F0208B" w:rsidRDefault="00A646F2" w:rsidP="005D4DBA">
      <w:pPr>
        <w:spacing w:line="360" w:lineRule="auto"/>
        <w:jc w:val="both"/>
        <w:rPr>
          <w:rFonts w:ascii="Times New Roman" w:hAnsi="Times New Roman" w:cs="Times New Roman"/>
          <w:sz w:val="24"/>
          <w:szCs w:val="24"/>
        </w:rPr>
      </w:pPr>
      <w:r w:rsidRPr="00F0208B">
        <w:rPr>
          <w:rFonts w:ascii="Times New Roman" w:hAnsi="Times New Roman" w:cs="Times New Roman"/>
          <w:sz w:val="24"/>
          <w:szCs w:val="24"/>
        </w:rPr>
        <w:t xml:space="preserve">Invitamos a la lectura de un </w:t>
      </w:r>
      <w:r w:rsidRPr="00F0208B">
        <w:rPr>
          <w:rFonts w:ascii="Times New Roman" w:hAnsi="Times New Roman" w:cs="Times New Roman"/>
          <w:i/>
          <w:iCs/>
          <w:sz w:val="24"/>
          <w:szCs w:val="24"/>
        </w:rPr>
        <w:t>Modelo analógico para mejorar la comunicación</w:t>
      </w:r>
      <w:r w:rsidR="007036BA" w:rsidRPr="00F0208B">
        <w:rPr>
          <w:rFonts w:ascii="Times New Roman" w:hAnsi="Times New Roman" w:cs="Times New Roman"/>
          <w:i/>
          <w:iCs/>
          <w:sz w:val="24"/>
          <w:szCs w:val="24"/>
        </w:rPr>
        <w:t>,</w:t>
      </w:r>
      <w:r w:rsidR="00F0208B">
        <w:rPr>
          <w:rFonts w:ascii="Times New Roman" w:hAnsi="Times New Roman" w:cs="Times New Roman"/>
          <w:i/>
          <w:iCs/>
          <w:sz w:val="24"/>
          <w:szCs w:val="24"/>
        </w:rPr>
        <w:t xml:space="preserve"> </w:t>
      </w:r>
      <w:r w:rsidRPr="00F0208B">
        <w:rPr>
          <w:rFonts w:ascii="Times New Roman" w:hAnsi="Times New Roman" w:cs="Times New Roman"/>
          <w:sz w:val="24"/>
          <w:szCs w:val="24"/>
        </w:rPr>
        <w:t>de la autoría</w:t>
      </w:r>
      <w:r w:rsidR="00DA2BD8" w:rsidRPr="00F0208B">
        <w:rPr>
          <w:rFonts w:ascii="Times New Roman" w:hAnsi="Times New Roman" w:cs="Times New Roman"/>
          <w:sz w:val="24"/>
          <w:szCs w:val="24"/>
        </w:rPr>
        <w:t xml:space="preserve"> de</w:t>
      </w:r>
      <w:r w:rsidRPr="00F0208B">
        <w:rPr>
          <w:rFonts w:ascii="Times New Roman" w:hAnsi="Times New Roman" w:cs="Times New Roman"/>
          <w:sz w:val="24"/>
          <w:szCs w:val="24"/>
        </w:rPr>
        <w:t xml:space="preserve"> </w:t>
      </w:r>
      <w:r w:rsidR="00DA2BD8" w:rsidRPr="00F0208B">
        <w:rPr>
          <w:rFonts w:ascii="Times New Roman" w:hAnsi="Times New Roman" w:cs="Times New Roman"/>
          <w:sz w:val="24"/>
          <w:szCs w:val="24"/>
        </w:rPr>
        <w:t xml:space="preserve">líderes en la temática, con una amplia producción científica en Cuba y el extranjero. Otras </w:t>
      </w:r>
      <w:r w:rsidR="00812865">
        <w:rPr>
          <w:rFonts w:ascii="Times New Roman" w:hAnsi="Times New Roman" w:cs="Times New Roman"/>
          <w:sz w:val="24"/>
          <w:szCs w:val="24"/>
        </w:rPr>
        <w:t xml:space="preserve">líneas </w:t>
      </w:r>
      <w:r w:rsidR="00DA2BD8" w:rsidRPr="00F0208B">
        <w:rPr>
          <w:rFonts w:ascii="Times New Roman" w:hAnsi="Times New Roman" w:cs="Times New Roman"/>
          <w:sz w:val="24"/>
          <w:szCs w:val="24"/>
        </w:rPr>
        <w:t xml:space="preserve">de </w:t>
      </w:r>
      <w:r w:rsidR="00812865">
        <w:rPr>
          <w:rFonts w:ascii="Times New Roman" w:hAnsi="Times New Roman" w:cs="Times New Roman"/>
          <w:sz w:val="24"/>
          <w:szCs w:val="24"/>
        </w:rPr>
        <w:t>investigación</w:t>
      </w:r>
      <w:r w:rsidR="00DA2BD8" w:rsidRPr="00F0208B">
        <w:rPr>
          <w:rFonts w:ascii="Times New Roman" w:hAnsi="Times New Roman" w:cs="Times New Roman"/>
          <w:sz w:val="24"/>
          <w:szCs w:val="24"/>
        </w:rPr>
        <w:t xml:space="preserve"> en la región, de frente a la Agenda 20</w:t>
      </w:r>
      <w:r w:rsidR="00812865">
        <w:rPr>
          <w:rFonts w:ascii="Times New Roman" w:hAnsi="Times New Roman" w:cs="Times New Roman"/>
          <w:sz w:val="24"/>
          <w:szCs w:val="24"/>
        </w:rPr>
        <w:t>30</w:t>
      </w:r>
      <w:r w:rsidR="00DA2BD8" w:rsidRPr="00F0208B">
        <w:rPr>
          <w:rFonts w:ascii="Times New Roman" w:hAnsi="Times New Roman" w:cs="Times New Roman"/>
          <w:sz w:val="24"/>
          <w:szCs w:val="24"/>
        </w:rPr>
        <w:t xml:space="preserve"> son la inclusión socioeducativa, la preparación de l</w:t>
      </w:r>
      <w:r w:rsidR="007036BA" w:rsidRPr="00F0208B">
        <w:rPr>
          <w:rFonts w:ascii="Times New Roman" w:hAnsi="Times New Roman" w:cs="Times New Roman"/>
          <w:sz w:val="24"/>
          <w:szCs w:val="24"/>
        </w:rPr>
        <w:t>os docentes</w:t>
      </w:r>
      <w:r w:rsidR="00DA2BD8" w:rsidRPr="00F0208B">
        <w:rPr>
          <w:rFonts w:ascii="Times New Roman" w:hAnsi="Times New Roman" w:cs="Times New Roman"/>
          <w:sz w:val="24"/>
          <w:szCs w:val="24"/>
        </w:rPr>
        <w:t xml:space="preserve"> para enfrentar situaciones de emergencia</w:t>
      </w:r>
      <w:r w:rsidR="00812865">
        <w:rPr>
          <w:rFonts w:ascii="Times New Roman" w:hAnsi="Times New Roman" w:cs="Times New Roman"/>
          <w:sz w:val="24"/>
          <w:szCs w:val="24"/>
        </w:rPr>
        <w:t xml:space="preserve"> y</w:t>
      </w:r>
      <w:r w:rsidR="00DA2BD8" w:rsidRPr="00F0208B">
        <w:rPr>
          <w:rFonts w:ascii="Times New Roman" w:hAnsi="Times New Roman" w:cs="Times New Roman"/>
          <w:sz w:val="24"/>
          <w:szCs w:val="24"/>
        </w:rPr>
        <w:t xml:space="preserve"> el empleo de otros recursos</w:t>
      </w:r>
      <w:r w:rsidR="00812865">
        <w:rPr>
          <w:rFonts w:ascii="Times New Roman" w:hAnsi="Times New Roman" w:cs="Times New Roman"/>
          <w:sz w:val="24"/>
          <w:szCs w:val="24"/>
        </w:rPr>
        <w:t xml:space="preserve">, como las artes plásticas, </w:t>
      </w:r>
      <w:r w:rsidR="00DA2BD8" w:rsidRPr="00F0208B">
        <w:rPr>
          <w:rFonts w:ascii="Times New Roman" w:hAnsi="Times New Roman" w:cs="Times New Roman"/>
          <w:sz w:val="24"/>
          <w:szCs w:val="24"/>
        </w:rPr>
        <w:t xml:space="preserve">para la atención a las necesidades educativas especiales. </w:t>
      </w:r>
    </w:p>
    <w:p w14:paraId="7E8B3477" w14:textId="51E58D82" w:rsidR="00DA2BD8" w:rsidRPr="00F0208B" w:rsidRDefault="00DA2BD8" w:rsidP="005D4DBA">
      <w:pPr>
        <w:spacing w:line="360" w:lineRule="auto"/>
        <w:jc w:val="both"/>
        <w:rPr>
          <w:rFonts w:ascii="Times New Roman" w:hAnsi="Times New Roman" w:cs="Times New Roman"/>
          <w:sz w:val="24"/>
          <w:szCs w:val="24"/>
        </w:rPr>
      </w:pPr>
      <w:r w:rsidRPr="00F0208B">
        <w:rPr>
          <w:rFonts w:ascii="Times New Roman" w:hAnsi="Times New Roman" w:cs="Times New Roman"/>
          <w:sz w:val="24"/>
          <w:szCs w:val="24"/>
        </w:rPr>
        <w:t>Vuelven a ser tema de análisis e interés la formación de valores y la enseñanza basada también en un enfoque de sostenibilidad y protección de la naturaleza</w:t>
      </w:r>
      <w:r w:rsidR="007036BA" w:rsidRPr="00F0208B">
        <w:rPr>
          <w:rFonts w:ascii="Times New Roman" w:hAnsi="Times New Roman" w:cs="Times New Roman"/>
          <w:sz w:val="24"/>
          <w:szCs w:val="24"/>
        </w:rPr>
        <w:t xml:space="preserve">, </w:t>
      </w:r>
      <w:r w:rsidR="00F0208B">
        <w:rPr>
          <w:rFonts w:ascii="Times New Roman" w:hAnsi="Times New Roman" w:cs="Times New Roman"/>
          <w:sz w:val="24"/>
          <w:szCs w:val="24"/>
        </w:rPr>
        <w:t>el proceso de formación integral en el nivel preuniversitario y la</w:t>
      </w:r>
      <w:r w:rsidR="00F0208B" w:rsidRPr="00F0208B">
        <w:rPr>
          <w:rFonts w:ascii="Times New Roman" w:hAnsi="Times New Roman" w:cs="Times New Roman"/>
          <w:sz w:val="24"/>
          <w:szCs w:val="24"/>
        </w:rPr>
        <w:t xml:space="preserve">s </w:t>
      </w:r>
      <w:r w:rsidR="00F0208B">
        <w:rPr>
          <w:rFonts w:ascii="Times New Roman" w:hAnsi="Times New Roman" w:cs="Times New Roman"/>
          <w:sz w:val="24"/>
          <w:szCs w:val="24"/>
        </w:rPr>
        <w:t>c</w:t>
      </w:r>
      <w:r w:rsidR="00F0208B" w:rsidRPr="00F0208B">
        <w:rPr>
          <w:rFonts w:ascii="Times New Roman" w:hAnsi="Times New Roman" w:cs="Times New Roman"/>
          <w:sz w:val="24"/>
          <w:szCs w:val="24"/>
        </w:rPr>
        <w:t>iencias de la Educación como fundamentos de las plataformas educativas digitales</w:t>
      </w:r>
      <w:r w:rsidR="00F0208B">
        <w:rPr>
          <w:rFonts w:ascii="Times New Roman" w:hAnsi="Times New Roman" w:cs="Times New Roman"/>
          <w:sz w:val="24"/>
          <w:szCs w:val="24"/>
        </w:rPr>
        <w:t xml:space="preserve">. </w:t>
      </w:r>
    </w:p>
    <w:p w14:paraId="0EEEDEAB" w14:textId="3BCBDAC5" w:rsidR="00AB4511" w:rsidRDefault="006E65CD" w:rsidP="005D4D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parte de nuestras alianzas estratégicas </w:t>
      </w:r>
      <w:r w:rsidR="00812865">
        <w:rPr>
          <w:rFonts w:ascii="Times New Roman" w:hAnsi="Times New Roman" w:cs="Times New Roman"/>
          <w:sz w:val="24"/>
          <w:szCs w:val="24"/>
        </w:rPr>
        <w:t xml:space="preserve">compartimos un </w:t>
      </w:r>
      <w:r>
        <w:rPr>
          <w:rFonts w:ascii="Times New Roman" w:hAnsi="Times New Roman" w:cs="Times New Roman"/>
          <w:sz w:val="24"/>
          <w:szCs w:val="24"/>
        </w:rPr>
        <w:t xml:space="preserve">suplemento especial con la  </w:t>
      </w:r>
      <w:r w:rsidRPr="006E65CD">
        <w:rPr>
          <w:rFonts w:ascii="Times New Roman" w:hAnsi="Times New Roman" w:cs="Times New Roman"/>
          <w:sz w:val="24"/>
          <w:szCs w:val="24"/>
        </w:rPr>
        <w:t>Universidad San Juan Bautista, Perú</w:t>
      </w:r>
      <w:r w:rsidR="00812865">
        <w:rPr>
          <w:rFonts w:ascii="Times New Roman" w:hAnsi="Times New Roman" w:cs="Times New Roman"/>
          <w:sz w:val="24"/>
          <w:szCs w:val="24"/>
        </w:rPr>
        <w:t xml:space="preserve">; </w:t>
      </w:r>
      <w:r>
        <w:rPr>
          <w:rFonts w:ascii="Times New Roman" w:hAnsi="Times New Roman" w:cs="Times New Roman"/>
          <w:sz w:val="24"/>
          <w:szCs w:val="24"/>
        </w:rPr>
        <w:t>en el que se abordaron temáticas como la gamificación</w:t>
      </w:r>
      <w:r w:rsidR="00712303">
        <w:rPr>
          <w:rFonts w:ascii="Times New Roman" w:hAnsi="Times New Roman" w:cs="Times New Roman"/>
          <w:sz w:val="24"/>
          <w:szCs w:val="24"/>
        </w:rPr>
        <w:t>,</w:t>
      </w:r>
      <w:r>
        <w:rPr>
          <w:rFonts w:ascii="Times New Roman" w:hAnsi="Times New Roman" w:cs="Times New Roman"/>
          <w:sz w:val="24"/>
          <w:szCs w:val="24"/>
        </w:rPr>
        <w:t xml:space="preserve"> la atención educativa a la </w:t>
      </w:r>
      <w:r w:rsidR="00812865">
        <w:rPr>
          <w:rFonts w:ascii="Times New Roman" w:hAnsi="Times New Roman" w:cs="Times New Roman"/>
          <w:sz w:val="24"/>
          <w:szCs w:val="24"/>
        </w:rPr>
        <w:t>P</w:t>
      </w:r>
      <w:r>
        <w:rPr>
          <w:rFonts w:ascii="Times New Roman" w:hAnsi="Times New Roman" w:cs="Times New Roman"/>
          <w:sz w:val="24"/>
          <w:szCs w:val="24"/>
        </w:rPr>
        <w:t xml:space="preserve">rimera infancia </w:t>
      </w:r>
      <w:r w:rsidR="00712303">
        <w:rPr>
          <w:rFonts w:ascii="Times New Roman" w:hAnsi="Times New Roman" w:cs="Times New Roman"/>
          <w:sz w:val="24"/>
          <w:szCs w:val="24"/>
        </w:rPr>
        <w:t>, la formación de estudiantes de la carrera de Psicología</w:t>
      </w:r>
      <w:r w:rsidR="00812865">
        <w:rPr>
          <w:rFonts w:ascii="Times New Roman" w:hAnsi="Times New Roman" w:cs="Times New Roman"/>
          <w:sz w:val="24"/>
          <w:szCs w:val="24"/>
        </w:rPr>
        <w:t>, habilidades socioemocionales</w:t>
      </w:r>
      <w:r w:rsidR="00712303">
        <w:rPr>
          <w:rFonts w:ascii="Times New Roman" w:hAnsi="Times New Roman" w:cs="Times New Roman"/>
          <w:sz w:val="24"/>
          <w:szCs w:val="24"/>
        </w:rPr>
        <w:t xml:space="preserve">, entre otras temáticas de gran interés. </w:t>
      </w:r>
    </w:p>
    <w:p w14:paraId="7BA9973B" w14:textId="1ADAB4D9" w:rsidR="00375287" w:rsidRDefault="00375287" w:rsidP="005D4D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unidad indisoluble confluyen en este número la necesidad de potenciar la formación integral de educandos, en coherencia con la preparación del docente para ello. Acá se integran miradas diversas de buenas prácticas educativas que esperamos puedan seguir analizando en el abordaje de las ciencias de la educación. </w:t>
      </w:r>
    </w:p>
    <w:p w14:paraId="5358AB5E" w14:textId="4097D944" w:rsidR="006269BC" w:rsidRPr="00F0208B" w:rsidRDefault="006269BC" w:rsidP="005D4D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manera especial, invitamos a </w:t>
      </w:r>
      <w:r w:rsidR="00A23883">
        <w:rPr>
          <w:rFonts w:ascii="Times New Roman" w:hAnsi="Times New Roman" w:cs="Times New Roman"/>
          <w:sz w:val="24"/>
          <w:szCs w:val="24"/>
        </w:rPr>
        <w:t>seguir,</w:t>
      </w:r>
      <w:r>
        <w:rPr>
          <w:rFonts w:ascii="Times New Roman" w:hAnsi="Times New Roman" w:cs="Times New Roman"/>
          <w:sz w:val="24"/>
          <w:szCs w:val="24"/>
        </w:rPr>
        <w:t xml:space="preserve"> a partir de este número, una serie de artículos de investigación del Dr.</w:t>
      </w:r>
      <w:r w:rsidR="00A23883">
        <w:rPr>
          <w:rFonts w:ascii="Times New Roman" w:hAnsi="Times New Roman" w:cs="Times New Roman"/>
          <w:sz w:val="24"/>
          <w:szCs w:val="24"/>
        </w:rPr>
        <w:t xml:space="preserve"> </w:t>
      </w:r>
      <w:r>
        <w:rPr>
          <w:rFonts w:ascii="Times New Roman" w:hAnsi="Times New Roman" w:cs="Times New Roman"/>
          <w:sz w:val="24"/>
          <w:szCs w:val="24"/>
        </w:rPr>
        <w:t xml:space="preserve">Cs. Alberto Diego Valle Lima en torno a la necesaria actualización de la Pedagogía en Cuba. </w:t>
      </w:r>
    </w:p>
    <w:sectPr w:rsidR="006269BC" w:rsidRPr="00F0208B" w:rsidSect="00DF62C1">
      <w:headerReference w:type="default" r:id="rId6"/>
      <w:footerReference w:type="default" r:id="rId7"/>
      <w:pgSz w:w="11906" w:h="16838"/>
      <w:pgMar w:top="1417" w:right="849" w:bottom="1417" w:left="81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B34F0" w14:textId="77777777" w:rsidR="00256FAB" w:rsidRDefault="00256FAB" w:rsidP="00F94DBB">
      <w:pPr>
        <w:spacing w:after="0" w:line="240" w:lineRule="auto"/>
      </w:pPr>
      <w:r>
        <w:separator/>
      </w:r>
    </w:p>
  </w:endnote>
  <w:endnote w:type="continuationSeparator" w:id="0">
    <w:p w14:paraId="157EC791" w14:textId="77777777" w:rsidR="00256FAB" w:rsidRDefault="00256FAB" w:rsidP="00F9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DF62C1" w:rsidRPr="00DF62C1" w14:paraId="26D528F4" w14:textId="77777777" w:rsidTr="00A97D62">
      <w:trPr>
        <w:trHeight w:val="310"/>
        <w:jc w:val="center"/>
      </w:trPr>
      <w:tc>
        <w:tcPr>
          <w:tcW w:w="1804" w:type="dxa"/>
          <w:shd w:val="clear" w:color="auto" w:fill="00B0F0"/>
          <w:tcMar>
            <w:top w:w="144" w:type="dxa"/>
            <w:left w:w="115" w:type="dxa"/>
            <w:bottom w:w="144" w:type="dxa"/>
            <w:right w:w="115" w:type="dxa"/>
          </w:tcMar>
          <w:vAlign w:val="center"/>
        </w:tcPr>
        <w:p w14:paraId="125F0E4C" w14:textId="77777777" w:rsidR="00DF62C1" w:rsidRPr="00DF62C1" w:rsidRDefault="00DF62C1" w:rsidP="00DF62C1">
          <w:pPr>
            <w:rPr>
              <w:rFonts w:ascii="Calibri" w:eastAsia="Calibri" w:hAnsi="Calibri" w:cs="Times New Roman"/>
              <w:b/>
              <w:color w:val="FFFFFF"/>
            </w:rPr>
          </w:pPr>
          <w:r w:rsidRPr="00DF62C1">
            <w:rPr>
              <w:rFonts w:ascii="Calibri" w:eastAsia="Calibri" w:hAnsi="Calibri" w:cs="Times New Roman"/>
              <w:noProof/>
            </w:rPr>
            <w:drawing>
              <wp:inline distT="0" distB="0" distL="0" distR="0" wp14:anchorId="2050E862" wp14:editId="5AEFAEBF">
                <wp:extent cx="999530" cy="3521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63B43C4B" w14:textId="77777777" w:rsidR="00DF62C1" w:rsidRPr="00DF62C1" w:rsidRDefault="00DF62C1" w:rsidP="00DF62C1">
          <w:pPr>
            <w:rPr>
              <w:rFonts w:ascii="Calibri" w:eastAsia="Calibri" w:hAnsi="Calibri" w:cs="Times New Roman"/>
              <w:color w:val="FFFFFF"/>
              <w:sz w:val="20"/>
              <w:lang w:val="es-US"/>
            </w:rPr>
          </w:pPr>
          <w:r w:rsidRPr="00DF62C1">
            <w:rPr>
              <w:rFonts w:ascii="Calibri" w:eastAsia="Calibri" w:hAnsi="Calibri" w:cs="Times New Roman"/>
              <w:color w:val="FFFFFF"/>
              <w:sz w:val="20"/>
              <w:lang w:val="es-US"/>
            </w:rPr>
            <w:t xml:space="preserve">Artículo de acceso abierto distribuido bajo los términos de la licencia </w:t>
          </w:r>
          <w:proofErr w:type="spellStart"/>
          <w:r w:rsidRPr="00DF62C1">
            <w:rPr>
              <w:rFonts w:ascii="Calibri" w:eastAsia="Calibri" w:hAnsi="Calibri" w:cs="Times New Roman"/>
              <w:color w:val="FFFFFF"/>
              <w:sz w:val="20"/>
              <w:lang w:val="es-US"/>
            </w:rPr>
            <w:t>Creative</w:t>
          </w:r>
          <w:proofErr w:type="spellEnd"/>
          <w:r w:rsidRPr="00DF62C1">
            <w:rPr>
              <w:rFonts w:ascii="Calibri" w:eastAsia="Calibri" w:hAnsi="Calibri" w:cs="Times New Roman"/>
              <w:color w:val="FFFFFF"/>
              <w:sz w:val="20"/>
              <w:lang w:val="es-US"/>
            </w:rPr>
            <w:t xml:space="preserve"> </w:t>
          </w:r>
          <w:proofErr w:type="spellStart"/>
          <w:r w:rsidRPr="00DF62C1">
            <w:rPr>
              <w:rFonts w:ascii="Calibri" w:eastAsia="Calibri" w:hAnsi="Calibri" w:cs="Times New Roman"/>
              <w:color w:val="FFFFFF"/>
              <w:sz w:val="20"/>
              <w:lang w:val="es-US"/>
            </w:rPr>
            <w:t>Commons</w:t>
          </w:r>
          <w:proofErr w:type="spellEnd"/>
          <w:r w:rsidRPr="00DF62C1">
            <w:rPr>
              <w:rFonts w:ascii="Calibri" w:eastAsia="Calibri" w:hAnsi="Calibri" w:cs="Times New Roman"/>
              <w:color w:val="FFFFFF"/>
              <w:sz w:val="20"/>
              <w:lang w:val="es-US"/>
            </w:rPr>
            <w:t xml:space="preserve">. </w:t>
          </w:r>
        </w:p>
        <w:p w14:paraId="1479FC6A" w14:textId="77777777" w:rsidR="00DF62C1" w:rsidRPr="00DF62C1" w:rsidRDefault="00DF62C1" w:rsidP="00DF62C1">
          <w:pPr>
            <w:rPr>
              <w:rFonts w:ascii="Calibri" w:eastAsia="Calibri" w:hAnsi="Calibri" w:cs="Times New Roman"/>
              <w:b/>
              <w:color w:val="FFFFFF"/>
              <w:lang w:val="es-US"/>
            </w:rPr>
          </w:pPr>
          <w:r w:rsidRPr="00DF62C1">
            <w:rPr>
              <w:rFonts w:ascii="Calibri" w:eastAsia="Calibri" w:hAnsi="Calibri" w:cs="Times New Roman"/>
              <w:color w:val="FFFFFF"/>
              <w:sz w:val="20"/>
              <w:lang w:val="es-US"/>
            </w:rPr>
            <w:t>Reconocimiento-</w:t>
          </w:r>
          <w:proofErr w:type="spellStart"/>
          <w:r w:rsidRPr="00DF62C1">
            <w:rPr>
              <w:rFonts w:ascii="Calibri" w:eastAsia="Calibri" w:hAnsi="Calibri" w:cs="Times New Roman"/>
              <w:color w:val="FFFFFF"/>
              <w:sz w:val="20"/>
              <w:lang w:val="es-US"/>
            </w:rPr>
            <w:t>NoComercial</w:t>
          </w:r>
          <w:proofErr w:type="spellEnd"/>
          <w:r w:rsidRPr="00DF62C1">
            <w:rPr>
              <w:rFonts w:ascii="Calibri" w:eastAsia="Calibri" w:hAnsi="Calibri" w:cs="Times New Roman"/>
              <w:color w:val="FFFFFF"/>
              <w:sz w:val="20"/>
              <w:lang w:val="es-US"/>
            </w:rPr>
            <w:t xml:space="preserve"> 4.0 Internacional (CC BY-NC 4.0)</w:t>
          </w:r>
        </w:p>
      </w:tc>
    </w:tr>
    <w:tr w:rsidR="00DF62C1" w:rsidRPr="00DF62C1" w14:paraId="03DBBF92" w14:textId="77777777" w:rsidTr="00A97D62">
      <w:trPr>
        <w:trHeight w:val="14"/>
        <w:jc w:val="center"/>
      </w:trPr>
      <w:tc>
        <w:tcPr>
          <w:tcW w:w="10085" w:type="dxa"/>
          <w:gridSpan w:val="2"/>
          <w:shd w:val="clear" w:color="auto" w:fill="FFFFFF"/>
          <w:tcMar>
            <w:top w:w="144" w:type="dxa"/>
            <w:left w:w="115" w:type="dxa"/>
            <w:bottom w:w="144" w:type="dxa"/>
            <w:right w:w="115" w:type="dxa"/>
          </w:tcMar>
          <w:vAlign w:val="center"/>
        </w:tcPr>
        <w:p w14:paraId="5A90E631" w14:textId="77777777" w:rsidR="00DF62C1" w:rsidRPr="00DF62C1" w:rsidRDefault="00DF62C1" w:rsidP="00DF62C1">
          <w:pPr>
            <w:jc w:val="center"/>
            <w:rPr>
              <w:rFonts w:ascii="Calibri" w:eastAsia="Calibri" w:hAnsi="Calibri" w:cs="Times New Roman"/>
              <w:color w:val="FFFFFF"/>
              <w:sz w:val="20"/>
              <w:lang w:val="es-US"/>
            </w:rPr>
          </w:pPr>
          <w:r w:rsidRPr="00DF62C1">
            <w:rPr>
              <w:rFonts w:ascii="Calibri" w:eastAsia="Calibri" w:hAnsi="Calibri" w:cs="Times New Roman"/>
              <w:color w:val="833C0B"/>
              <w:sz w:val="20"/>
              <w:lang w:val="es-US"/>
            </w:rPr>
            <w:t>Calle 41 No. 3406 e/34 y 36 Playa, La Habana, Cuba.    /   revista@iccp.rimed.cu   /   www.cienciaspedagogicas.rimed.cu</w:t>
          </w:r>
        </w:p>
      </w:tc>
    </w:tr>
  </w:tbl>
  <w:p w14:paraId="393BCFF0" w14:textId="7ADBD3D8" w:rsidR="00DF62C1" w:rsidRPr="00DF62C1" w:rsidRDefault="00DF62C1" w:rsidP="00DF62C1">
    <w:pPr>
      <w:pStyle w:val="Piedepgina"/>
      <w:jc w:val="center"/>
    </w:pPr>
    <w:sdt>
      <w:sdtPr>
        <w:id w:val="1958130668"/>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20C09" w14:textId="77777777" w:rsidR="00256FAB" w:rsidRDefault="00256FAB" w:rsidP="00F94DBB">
      <w:pPr>
        <w:spacing w:after="0" w:line="240" w:lineRule="auto"/>
      </w:pPr>
      <w:r>
        <w:separator/>
      </w:r>
    </w:p>
  </w:footnote>
  <w:footnote w:type="continuationSeparator" w:id="0">
    <w:p w14:paraId="67566E0C" w14:textId="77777777" w:rsidR="00256FAB" w:rsidRDefault="00256FAB" w:rsidP="00F94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E5F8" w14:textId="77777777" w:rsidR="00F94DBB" w:rsidRDefault="00F94DBB" w:rsidP="00DF62C1">
    <w:pPr>
      <w:pStyle w:val="Encabezado"/>
      <w:ind w:left="-360"/>
    </w:pPr>
  </w:p>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F94DBB" w:rsidRPr="00F94DBB" w14:paraId="173ACCA7" w14:textId="77777777" w:rsidTr="00DF62C1">
      <w:trPr>
        <w:trHeight w:val="769"/>
        <w:jc w:val="center"/>
      </w:trPr>
      <w:tc>
        <w:tcPr>
          <w:tcW w:w="5035" w:type="dxa"/>
          <w:tcMar>
            <w:top w:w="72" w:type="dxa"/>
            <w:left w:w="115" w:type="dxa"/>
            <w:bottom w:w="72" w:type="dxa"/>
            <w:right w:w="115" w:type="dxa"/>
          </w:tcMar>
          <w:vAlign w:val="center"/>
        </w:tcPr>
        <w:p w14:paraId="5AEA6767" w14:textId="77777777" w:rsidR="00F94DBB" w:rsidRPr="00F94DBB" w:rsidRDefault="00F94DBB" w:rsidP="00F94DBB">
          <w:pPr>
            <w:jc w:val="center"/>
            <w:rPr>
              <w:rFonts w:ascii="Arial" w:eastAsia="Times New Roman" w:hAnsi="Arial" w:cs="Arial"/>
              <w:b/>
              <w:sz w:val="28"/>
              <w:szCs w:val="24"/>
              <w:lang w:eastAsia="es-ES"/>
            </w:rPr>
          </w:pPr>
          <w:r w:rsidRPr="00F94DBB">
            <w:rPr>
              <w:rFonts w:ascii="Times New Roman" w:eastAsia="Times New Roman" w:hAnsi="Times New Roman" w:cs="Times New Roman"/>
              <w:noProof/>
              <w:sz w:val="24"/>
              <w:szCs w:val="24"/>
            </w:rPr>
            <w:drawing>
              <wp:inline distT="0" distB="0" distL="0" distR="0" wp14:anchorId="45C9E6DA" wp14:editId="09ABA5B2">
                <wp:extent cx="3091218" cy="603072"/>
                <wp:effectExtent l="0" t="0" r="0" b="6985"/>
                <wp:docPr id="1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6D8DB2C2" w14:textId="77777777" w:rsidR="00F94DBB" w:rsidRPr="00DF62C1" w:rsidRDefault="00F94DBB" w:rsidP="00F94DBB">
          <w:pPr>
            <w:jc w:val="center"/>
            <w:rPr>
              <w:rFonts w:ascii="Times New Roman" w:eastAsia="Times New Roman" w:hAnsi="Times New Roman" w:cs="Times New Roman"/>
              <w:b/>
              <w:color w:val="FFFFFF" w:themeColor="background1"/>
              <w:sz w:val="20"/>
              <w:szCs w:val="24"/>
              <w:lang w:val="es-ES" w:eastAsia="es-ES"/>
            </w:rPr>
          </w:pPr>
          <w:r w:rsidRPr="00DF62C1">
            <w:rPr>
              <w:rFonts w:ascii="Times New Roman" w:eastAsia="Times New Roman" w:hAnsi="Times New Roman" w:cs="Times New Roman"/>
              <w:b/>
              <w:color w:val="FFFFFF" w:themeColor="background1"/>
              <w:sz w:val="20"/>
              <w:szCs w:val="24"/>
              <w:lang w:val="es-ES" w:eastAsia="es-ES"/>
            </w:rPr>
            <w:t>ISSN: 1605 – 5888    RNPS: 1844</w:t>
          </w:r>
        </w:p>
        <w:p w14:paraId="700F9C3B" w14:textId="4A8D8324" w:rsidR="00F94DBB" w:rsidRPr="00DF62C1" w:rsidRDefault="00F94DBB" w:rsidP="00DF62C1">
          <w:pPr>
            <w:jc w:val="center"/>
            <w:rPr>
              <w:rFonts w:ascii="Times New Roman" w:eastAsia="Times New Roman" w:hAnsi="Times New Roman" w:cs="Times New Roman"/>
              <w:b/>
              <w:color w:val="FFFFFF" w:themeColor="background1"/>
              <w:sz w:val="20"/>
              <w:szCs w:val="24"/>
              <w:lang w:val="es-ES" w:eastAsia="es-ES"/>
            </w:rPr>
          </w:pPr>
          <w:r w:rsidRPr="00DF62C1">
            <w:rPr>
              <w:rFonts w:ascii="Times New Roman" w:eastAsia="Times New Roman" w:hAnsi="Times New Roman" w:cs="Times New Roman"/>
              <w:b/>
              <w:color w:val="FFFFFF" w:themeColor="background1"/>
              <w:sz w:val="20"/>
              <w:szCs w:val="24"/>
              <w:lang w:val="es-ES" w:eastAsia="es-ES"/>
            </w:rPr>
            <w:t xml:space="preserve">V.17. No.3 (septiembre-diciembre) Año 2024, 4ta Etapa </w:t>
          </w:r>
        </w:p>
        <w:p w14:paraId="21E98908" w14:textId="7BA70D79" w:rsidR="00F94DBB" w:rsidRPr="00DF62C1" w:rsidRDefault="00F94DBB" w:rsidP="00F94DBB">
          <w:pPr>
            <w:jc w:val="center"/>
            <w:rPr>
              <w:rFonts w:ascii="Arial" w:eastAsia="Times New Roman" w:hAnsi="Arial" w:cs="Arial"/>
              <w:b/>
              <w:sz w:val="28"/>
              <w:szCs w:val="24"/>
              <w:lang w:val="es-ES" w:eastAsia="es-ES"/>
            </w:rPr>
          </w:pPr>
          <w:r w:rsidRPr="00DF62C1">
            <w:rPr>
              <w:rFonts w:ascii="Times New Roman" w:eastAsia="Times New Roman" w:hAnsi="Times New Roman" w:cs="Times New Roman"/>
              <w:b/>
              <w:color w:val="FFFFFF" w:themeColor="background1"/>
              <w:sz w:val="20"/>
              <w:szCs w:val="24"/>
              <w:lang w:val="es-ES" w:eastAsia="es-ES"/>
            </w:rPr>
            <w:t>Pág.</w:t>
          </w:r>
          <w:r w:rsidR="00DF62C1" w:rsidRPr="00DF62C1">
            <w:rPr>
              <w:rFonts w:ascii="Times New Roman" w:eastAsia="Times New Roman" w:hAnsi="Times New Roman" w:cs="Times New Roman"/>
              <w:b/>
              <w:color w:val="FFFFFF" w:themeColor="background1"/>
              <w:sz w:val="20"/>
              <w:szCs w:val="24"/>
              <w:lang w:val="es-ES" w:eastAsia="es-ES"/>
            </w:rPr>
            <w:t xml:space="preserve"> 1</w:t>
          </w:r>
        </w:p>
      </w:tc>
    </w:tr>
  </w:tbl>
  <w:p w14:paraId="3727AC08" w14:textId="77777777" w:rsidR="00F94DBB" w:rsidRDefault="00F94DB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0C"/>
    <w:rsid w:val="001C4220"/>
    <w:rsid w:val="00256FAB"/>
    <w:rsid w:val="00375287"/>
    <w:rsid w:val="00493577"/>
    <w:rsid w:val="005D4DBA"/>
    <w:rsid w:val="00602154"/>
    <w:rsid w:val="006269BC"/>
    <w:rsid w:val="006E65CD"/>
    <w:rsid w:val="007036BA"/>
    <w:rsid w:val="00712303"/>
    <w:rsid w:val="00733AC1"/>
    <w:rsid w:val="007E2900"/>
    <w:rsid w:val="00812865"/>
    <w:rsid w:val="0092080C"/>
    <w:rsid w:val="00A23883"/>
    <w:rsid w:val="00A646F2"/>
    <w:rsid w:val="00AB4511"/>
    <w:rsid w:val="00BA3BC5"/>
    <w:rsid w:val="00C23B93"/>
    <w:rsid w:val="00C4313F"/>
    <w:rsid w:val="00CA5086"/>
    <w:rsid w:val="00DA1E71"/>
    <w:rsid w:val="00DA2BD8"/>
    <w:rsid w:val="00DF62C1"/>
    <w:rsid w:val="00F0208B"/>
    <w:rsid w:val="00F94D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DAB61"/>
  <w15:chartTrackingRefBased/>
  <w15:docId w15:val="{41578BCD-B436-4B88-ADC3-4DAEFE1F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4D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4DBB"/>
  </w:style>
  <w:style w:type="paragraph" w:styleId="Piedepgina">
    <w:name w:val="footer"/>
    <w:basedOn w:val="Normal"/>
    <w:link w:val="PiedepginaCar"/>
    <w:uiPriority w:val="99"/>
    <w:unhideWhenUsed/>
    <w:rsid w:val="00F94D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4DBB"/>
  </w:style>
  <w:style w:type="table" w:styleId="Tablaconcuadrcula">
    <w:name w:val="Table Grid"/>
    <w:basedOn w:val="Tablanormal"/>
    <w:uiPriority w:val="39"/>
    <w:rsid w:val="00F94D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309</Words>
  <Characters>1767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2024-10-29T15:44:00Z</cp:lastPrinted>
  <dcterms:created xsi:type="dcterms:W3CDTF">2024-09-24T18:07:00Z</dcterms:created>
  <dcterms:modified xsi:type="dcterms:W3CDTF">2024-10-29T15:54:00Z</dcterms:modified>
</cp:coreProperties>
</file>