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43A75" w14:textId="77777777" w:rsidR="006A15FE" w:rsidRPr="00E12233" w:rsidRDefault="006A15FE" w:rsidP="006A15FE">
      <w:pPr>
        <w:pStyle w:val="Ttulo"/>
        <w:rPr>
          <w:sz w:val="24"/>
          <w:szCs w:val="24"/>
          <w:lang w:val="es-ES_tradnl"/>
        </w:rPr>
      </w:pPr>
      <w:r w:rsidRPr="00E12233">
        <w:rPr>
          <w:sz w:val="24"/>
          <w:szCs w:val="24"/>
          <w:lang w:val="es-ES_tradnl"/>
        </w:rPr>
        <w:t xml:space="preserve">Impacto de los procesos formativos en la gestión del desarrollo local </w:t>
      </w:r>
    </w:p>
    <w:p w14:paraId="6EC37E88" w14:textId="13A51DFF" w:rsidR="006A15FE" w:rsidRPr="003F2DDE" w:rsidRDefault="00D01449" w:rsidP="00E12233">
      <w:pPr>
        <w:jc w:val="center"/>
        <w:rPr>
          <w:lang w:val="en-US"/>
        </w:rPr>
      </w:pPr>
      <w:r>
        <w:rPr>
          <w:lang w:val="en-US"/>
        </w:rPr>
        <w:t>Impact of the training</w:t>
      </w:r>
      <w:r w:rsidR="006A15FE" w:rsidRPr="003F2DDE">
        <w:rPr>
          <w:lang w:val="en-US"/>
        </w:rPr>
        <w:t xml:space="preserve"> processes in the management of the local development </w:t>
      </w:r>
    </w:p>
    <w:p w14:paraId="1A9D35E0" w14:textId="6BA5EB0C"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944AF4">
      <w:pPr>
        <w:pStyle w:val="NormalWeb"/>
        <w:spacing w:after="120" w:line="360" w:lineRule="auto"/>
      </w:pPr>
      <w:r w:rsidRPr="00CD043B">
        <w:rPr>
          <w:rStyle w:val="Textoennegrita"/>
        </w:rPr>
        <w:t>AUTOR (ES):</w:t>
      </w:r>
    </w:p>
    <w:p w14:paraId="44160676" w14:textId="6AE5FA31" w:rsidR="0080720D" w:rsidRDefault="0080720D" w:rsidP="003F2DDE">
      <w:pPr>
        <w:pStyle w:val="Subttulo"/>
        <w:spacing w:line="360" w:lineRule="auto"/>
        <w:ind w:left="426"/>
        <w:rPr>
          <w:rFonts w:cs="Times New Roman"/>
        </w:rPr>
      </w:pPr>
      <w:r>
        <w:t>Diosemi Sardiñas Casañas</w:t>
      </w:r>
      <w:r>
        <w:rPr>
          <w:rStyle w:val="Refdenotaalpie"/>
          <w:szCs w:val="24"/>
        </w:rPr>
        <w:footnoteReference w:id="2"/>
      </w:r>
    </w:p>
    <w:p w14:paraId="1C02B24A" w14:textId="77777777" w:rsidR="0080720D" w:rsidRDefault="0080720D" w:rsidP="003F2DDE">
      <w:pPr>
        <w:pStyle w:val="Subttulo"/>
        <w:spacing w:line="360" w:lineRule="auto"/>
        <w:ind w:left="426"/>
        <w:rPr>
          <w:rFonts w:cs="Times New Roman"/>
          <w:i/>
        </w:rPr>
      </w:pPr>
      <w:r>
        <w:rPr>
          <w:rFonts w:cs="Times New Roman"/>
          <w:i/>
        </w:rPr>
        <w:t xml:space="preserve">Correo electrónico: </w:t>
      </w:r>
      <w:hyperlink r:id="rId7" w:history="1">
        <w:r>
          <w:rPr>
            <w:rStyle w:val="Hipervnculo"/>
            <w:rFonts w:cs="Times New Roman"/>
            <w:i/>
            <w:szCs w:val="24"/>
          </w:rPr>
          <w:t>diosemis.sardinas@umcc.cu</w:t>
        </w:r>
      </w:hyperlink>
    </w:p>
    <w:p w14:paraId="2E7E770F" w14:textId="1024B2A4" w:rsidR="0080720D" w:rsidRPr="00B61CF8" w:rsidRDefault="0080720D" w:rsidP="003F2DDE">
      <w:pPr>
        <w:pStyle w:val="Subttulo"/>
        <w:spacing w:line="360" w:lineRule="auto"/>
        <w:ind w:left="426"/>
        <w:rPr>
          <w:i/>
          <w:lang w:val="pt-BR"/>
        </w:rPr>
      </w:pPr>
      <w:r w:rsidRPr="00B61CF8">
        <w:rPr>
          <w:rFonts w:cs="Times New Roman"/>
          <w:i/>
          <w:lang w:val="pt-BR"/>
        </w:rPr>
        <w:t xml:space="preserve">Código orcid: </w:t>
      </w:r>
      <w:hyperlink r:id="rId8" w:history="1">
        <w:r w:rsidRPr="00B61CF8">
          <w:rPr>
            <w:rStyle w:val="Hipervnculo"/>
            <w:i/>
            <w:szCs w:val="24"/>
            <w:lang w:val="pt-BR"/>
          </w:rPr>
          <w:t>https://orcid.org/0000-0001-6556-8025</w:t>
        </w:r>
      </w:hyperlink>
    </w:p>
    <w:p w14:paraId="44AA3A70" w14:textId="77777777" w:rsidR="0080720D" w:rsidRDefault="0080720D" w:rsidP="003F2DDE">
      <w:pPr>
        <w:pStyle w:val="Subttulo"/>
        <w:spacing w:line="360" w:lineRule="auto"/>
        <w:ind w:left="426"/>
        <w:rPr>
          <w:rFonts w:cs="Times New Roman"/>
        </w:rPr>
      </w:pPr>
      <w:r>
        <w:rPr>
          <w:rFonts w:cs="Times New Roman"/>
        </w:rPr>
        <w:t xml:space="preserve">Centro laboral y país: </w:t>
      </w:r>
      <w:r>
        <w:t>Centro Universitario Municipal de Jagüey Grande. Universidad de Matanzas, Cuba</w:t>
      </w:r>
    </w:p>
    <w:p w14:paraId="15253A79" w14:textId="77777777" w:rsidR="00EA4AC8" w:rsidRDefault="00EA4AC8" w:rsidP="003F2DDE">
      <w:pPr>
        <w:pStyle w:val="Subttulo"/>
        <w:spacing w:line="360" w:lineRule="auto"/>
        <w:ind w:left="426"/>
      </w:pPr>
    </w:p>
    <w:p w14:paraId="5190B92C" w14:textId="07990A1A" w:rsidR="0080720D" w:rsidRDefault="0080720D" w:rsidP="003F2DDE">
      <w:pPr>
        <w:pStyle w:val="Subttulo"/>
        <w:spacing w:line="360" w:lineRule="auto"/>
        <w:ind w:left="426"/>
      </w:pPr>
      <w:r>
        <w:t>Leyda Finalé de la Cruz</w:t>
      </w:r>
      <w:r>
        <w:rPr>
          <w:rStyle w:val="Refdenotaalpie"/>
          <w:szCs w:val="24"/>
        </w:rPr>
        <w:footnoteReference w:id="3"/>
      </w:r>
    </w:p>
    <w:p w14:paraId="381CA8B3" w14:textId="77777777" w:rsidR="0080720D" w:rsidRDefault="0080720D" w:rsidP="003F2DDE">
      <w:pPr>
        <w:pStyle w:val="Subttulo"/>
        <w:spacing w:line="360" w:lineRule="auto"/>
        <w:ind w:left="426"/>
        <w:rPr>
          <w:i/>
        </w:rPr>
      </w:pPr>
      <w:r>
        <w:rPr>
          <w:rFonts w:cs="Times New Roman"/>
          <w:i/>
        </w:rPr>
        <w:t>Correo electrónico:</w:t>
      </w:r>
      <w:r>
        <w:rPr>
          <w:i/>
        </w:rPr>
        <w:t xml:space="preserve"> </w:t>
      </w:r>
      <w:hyperlink r:id="rId9" w:history="1">
        <w:r>
          <w:rPr>
            <w:rStyle w:val="Hipervnculo"/>
            <w:i/>
            <w:szCs w:val="24"/>
          </w:rPr>
          <w:t>rector@umcc.cu</w:t>
        </w:r>
      </w:hyperlink>
    </w:p>
    <w:p w14:paraId="3E809B17" w14:textId="77777777" w:rsidR="0080720D" w:rsidRPr="003C197F" w:rsidRDefault="0080720D" w:rsidP="003F2DDE">
      <w:pPr>
        <w:pStyle w:val="Subttulo"/>
        <w:spacing w:line="360" w:lineRule="auto"/>
        <w:ind w:left="426"/>
        <w:rPr>
          <w:i/>
          <w:lang w:val="pt-BR"/>
        </w:rPr>
      </w:pPr>
      <w:r w:rsidRPr="003C197F">
        <w:rPr>
          <w:rFonts w:cs="Times New Roman"/>
          <w:i/>
          <w:lang w:val="pt-BR"/>
        </w:rPr>
        <w:t xml:space="preserve">Código orcid debidamente completado: </w:t>
      </w:r>
      <w:hyperlink r:id="rId10" w:history="1">
        <w:r w:rsidRPr="003C197F">
          <w:rPr>
            <w:rStyle w:val="Hipervnculo"/>
            <w:i/>
            <w:szCs w:val="24"/>
            <w:lang w:val="pt-BR"/>
          </w:rPr>
          <w:t>https://orcid.org/0000-0001-8218-2159</w:t>
        </w:r>
      </w:hyperlink>
    </w:p>
    <w:p w14:paraId="66CAA6CE" w14:textId="77777777" w:rsidR="0080720D" w:rsidRDefault="0080720D" w:rsidP="003F2DDE">
      <w:pPr>
        <w:pStyle w:val="Subttulo"/>
        <w:spacing w:line="360" w:lineRule="auto"/>
        <w:ind w:left="426"/>
      </w:pPr>
      <w:r>
        <w:t>Universidad de Matanzas, Cuba</w:t>
      </w:r>
    </w:p>
    <w:p w14:paraId="68FD90D3" w14:textId="77777777" w:rsidR="00EA4AC8" w:rsidRDefault="00EA4AC8" w:rsidP="003F2DDE">
      <w:pPr>
        <w:pStyle w:val="Subttulo"/>
        <w:spacing w:line="360" w:lineRule="auto"/>
        <w:ind w:left="426"/>
      </w:pPr>
    </w:p>
    <w:p w14:paraId="076E2ACB" w14:textId="5041022E" w:rsidR="0080720D" w:rsidRDefault="0080720D" w:rsidP="003F2DDE">
      <w:pPr>
        <w:pStyle w:val="Subttulo"/>
        <w:spacing w:line="360" w:lineRule="auto"/>
        <w:ind w:left="426"/>
      </w:pPr>
      <w:r>
        <w:t>Edgar Borot Peraza</w:t>
      </w:r>
      <w:r>
        <w:rPr>
          <w:rStyle w:val="Refdenotaalpie"/>
          <w:szCs w:val="24"/>
        </w:rPr>
        <w:footnoteReference w:id="4"/>
      </w:r>
    </w:p>
    <w:p w14:paraId="286C6E30" w14:textId="77777777" w:rsidR="0080720D" w:rsidRDefault="0080720D" w:rsidP="003F2DDE">
      <w:pPr>
        <w:pStyle w:val="Subttulo"/>
        <w:spacing w:line="360" w:lineRule="auto"/>
        <w:ind w:left="426"/>
        <w:rPr>
          <w:rStyle w:val="Hipervnculo"/>
          <w:i/>
          <w:szCs w:val="24"/>
        </w:rPr>
      </w:pPr>
      <w:r>
        <w:rPr>
          <w:rFonts w:cs="Times New Roman"/>
          <w:i/>
        </w:rPr>
        <w:t>Correo electrónico:</w:t>
      </w:r>
      <w:r>
        <w:rPr>
          <w:i/>
        </w:rPr>
        <w:t xml:space="preserve"> </w:t>
      </w:r>
      <w:hyperlink r:id="rId11" w:history="1">
        <w:r>
          <w:rPr>
            <w:rStyle w:val="Hipervnculo"/>
            <w:i/>
            <w:szCs w:val="24"/>
          </w:rPr>
          <w:t>edgar.borot@umcc.cu</w:t>
        </w:r>
      </w:hyperlink>
    </w:p>
    <w:p w14:paraId="62CBE301" w14:textId="77777777" w:rsidR="0080720D" w:rsidRPr="00B61CF8" w:rsidRDefault="0080720D" w:rsidP="003F2DDE">
      <w:pPr>
        <w:pStyle w:val="Subttulo"/>
        <w:spacing w:line="360" w:lineRule="auto"/>
        <w:ind w:left="426"/>
        <w:rPr>
          <w:b/>
          <w:sz w:val="20"/>
          <w:szCs w:val="20"/>
          <w:lang w:val="pt-BR"/>
        </w:rPr>
      </w:pPr>
      <w:r w:rsidRPr="00B61CF8">
        <w:rPr>
          <w:rFonts w:cs="Times New Roman"/>
          <w:i/>
          <w:lang w:val="pt-BR"/>
        </w:rPr>
        <w:t>Código orcid debidamente completado:</w:t>
      </w:r>
      <w:r w:rsidRPr="00B61CF8">
        <w:rPr>
          <w:b/>
          <w:sz w:val="20"/>
          <w:szCs w:val="20"/>
          <w:lang w:val="pt-BR"/>
        </w:rPr>
        <w:t xml:space="preserve"> </w:t>
      </w:r>
      <w:hyperlink r:id="rId12" w:history="1">
        <w:r w:rsidRPr="00B61CF8">
          <w:rPr>
            <w:rStyle w:val="Hipervnculo"/>
            <w:rFonts w:cs="Times New Roman"/>
            <w:i/>
            <w:szCs w:val="24"/>
            <w:lang w:val="pt-BR"/>
          </w:rPr>
          <w:t>https://orcid.org/0000-0001-5553-3670</w:t>
        </w:r>
      </w:hyperlink>
    </w:p>
    <w:p w14:paraId="54CCDCCB" w14:textId="5AD70C31" w:rsidR="0080720D" w:rsidRDefault="0080720D" w:rsidP="003F2DDE">
      <w:pPr>
        <w:pStyle w:val="Subttulo"/>
        <w:spacing w:line="360" w:lineRule="auto"/>
        <w:ind w:left="426"/>
      </w:pPr>
      <w:r>
        <w:t>Universidad de Matanzas, Cuba</w:t>
      </w:r>
    </w:p>
    <w:p w14:paraId="06FB998F" w14:textId="77777777" w:rsidR="00B11885" w:rsidRPr="00B11885" w:rsidRDefault="00B11885" w:rsidP="003F2DDE">
      <w:pPr>
        <w:ind w:left="426"/>
      </w:pPr>
    </w:p>
    <w:tbl>
      <w:tblPr>
        <w:tblStyle w:val="Tablaconcuadrcula"/>
        <w:tblpPr w:leftFromText="180" w:rightFromText="180" w:vertAnchor="text" w:horzAnchor="margin" w:tblpXSpec="center" w:tblpY="9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B11885" w14:paraId="54BCFB16" w14:textId="77777777" w:rsidTr="009407AF">
        <w:tc>
          <w:tcPr>
            <w:tcW w:w="2942" w:type="dxa"/>
            <w:shd w:val="clear" w:color="auto" w:fill="00B0F0"/>
          </w:tcPr>
          <w:p w14:paraId="646AD936" w14:textId="77777777" w:rsidR="00B11885" w:rsidRDefault="00B11885" w:rsidP="00B11885">
            <w:pPr>
              <w:widowControl w:val="0"/>
              <w:spacing w:line="240" w:lineRule="auto"/>
              <w:jc w:val="center"/>
              <w:rPr>
                <w:rFonts w:cs="Times New Roman"/>
                <w:b/>
              </w:rPr>
            </w:pPr>
            <w:r>
              <w:rPr>
                <w:rFonts w:cs="Times New Roman"/>
                <w:b/>
              </w:rPr>
              <w:t>Recibido</w:t>
            </w:r>
          </w:p>
        </w:tc>
        <w:tc>
          <w:tcPr>
            <w:tcW w:w="2943" w:type="dxa"/>
            <w:shd w:val="clear" w:color="auto" w:fill="00B0F0"/>
          </w:tcPr>
          <w:p w14:paraId="721BDB82" w14:textId="77777777" w:rsidR="00B11885" w:rsidRDefault="00B11885" w:rsidP="00B11885">
            <w:pPr>
              <w:widowControl w:val="0"/>
              <w:spacing w:line="240" w:lineRule="auto"/>
              <w:jc w:val="center"/>
              <w:rPr>
                <w:rFonts w:cs="Times New Roman"/>
                <w:b/>
              </w:rPr>
            </w:pPr>
            <w:r>
              <w:rPr>
                <w:rFonts w:cs="Times New Roman"/>
                <w:b/>
              </w:rPr>
              <w:t>Aprobado</w:t>
            </w:r>
          </w:p>
        </w:tc>
        <w:tc>
          <w:tcPr>
            <w:tcW w:w="2943" w:type="dxa"/>
            <w:shd w:val="clear" w:color="auto" w:fill="00B0F0"/>
          </w:tcPr>
          <w:p w14:paraId="31C103D6" w14:textId="77777777" w:rsidR="00B11885" w:rsidRDefault="00B11885" w:rsidP="00B11885">
            <w:pPr>
              <w:widowControl w:val="0"/>
              <w:spacing w:line="240" w:lineRule="auto"/>
              <w:jc w:val="center"/>
              <w:rPr>
                <w:rFonts w:cs="Times New Roman"/>
                <w:b/>
              </w:rPr>
            </w:pPr>
            <w:r>
              <w:rPr>
                <w:rFonts w:cs="Times New Roman"/>
                <w:b/>
              </w:rPr>
              <w:t>Publicado</w:t>
            </w:r>
          </w:p>
        </w:tc>
      </w:tr>
      <w:tr w:rsidR="00B11885" w14:paraId="58FC1C50" w14:textId="77777777" w:rsidTr="009407AF">
        <w:tc>
          <w:tcPr>
            <w:tcW w:w="2942" w:type="dxa"/>
          </w:tcPr>
          <w:p w14:paraId="70F96CBB" w14:textId="77777777" w:rsidR="00B11885" w:rsidRDefault="00B11885" w:rsidP="00B11885">
            <w:pPr>
              <w:widowControl w:val="0"/>
              <w:spacing w:line="240" w:lineRule="auto"/>
              <w:jc w:val="center"/>
              <w:rPr>
                <w:rFonts w:cs="Times New Roman"/>
              </w:rPr>
            </w:pPr>
            <w:r>
              <w:rPr>
                <w:rFonts w:cs="Times New Roman"/>
              </w:rPr>
              <w:t xml:space="preserve">2 de junio de 2023 </w:t>
            </w:r>
          </w:p>
        </w:tc>
        <w:tc>
          <w:tcPr>
            <w:tcW w:w="2943" w:type="dxa"/>
          </w:tcPr>
          <w:p w14:paraId="2BCD37CC" w14:textId="77777777" w:rsidR="00B11885" w:rsidRDefault="00B11885" w:rsidP="00B11885">
            <w:pPr>
              <w:widowControl w:val="0"/>
              <w:spacing w:line="240" w:lineRule="auto"/>
              <w:jc w:val="center"/>
              <w:rPr>
                <w:rFonts w:cs="Times New Roman"/>
              </w:rPr>
            </w:pPr>
            <w:r>
              <w:rPr>
                <w:rFonts w:cs="Times New Roman"/>
              </w:rPr>
              <w:t xml:space="preserve">23 de julio de 2023 </w:t>
            </w:r>
          </w:p>
        </w:tc>
        <w:tc>
          <w:tcPr>
            <w:tcW w:w="2943" w:type="dxa"/>
          </w:tcPr>
          <w:p w14:paraId="7AE25C4E" w14:textId="77777777" w:rsidR="00B11885" w:rsidRDefault="00B11885" w:rsidP="00B11885">
            <w:pPr>
              <w:widowControl w:val="0"/>
              <w:spacing w:line="240" w:lineRule="auto"/>
              <w:jc w:val="center"/>
              <w:rPr>
                <w:rFonts w:cs="Times New Roman"/>
              </w:rPr>
            </w:pPr>
            <w:r>
              <w:rPr>
                <w:rFonts w:cs="Times New Roman"/>
              </w:rPr>
              <w:t xml:space="preserve">10 de septiembre de 2023 </w:t>
            </w:r>
          </w:p>
        </w:tc>
      </w:tr>
    </w:tbl>
    <w:p w14:paraId="4982BEBF" w14:textId="77777777" w:rsidR="00B11885" w:rsidRPr="00B11885" w:rsidRDefault="00B11885" w:rsidP="00B11885"/>
    <w:p w14:paraId="38F5ED54" w14:textId="77777777" w:rsidR="0080720D" w:rsidRDefault="0080720D" w:rsidP="0080720D">
      <w:pPr>
        <w:widowControl w:val="0"/>
        <w:rPr>
          <w:rFonts w:cs="Times New Roman"/>
        </w:rPr>
      </w:pPr>
    </w:p>
    <w:p w14:paraId="5A981293" w14:textId="713E141B" w:rsidR="007C732C" w:rsidRDefault="007C732C" w:rsidP="003F2DDE">
      <w:pPr>
        <w:pStyle w:val="Ttulo1"/>
        <w:jc w:val="both"/>
      </w:pPr>
      <w:r>
        <w:t>RESUMEN</w:t>
      </w:r>
    </w:p>
    <w:p w14:paraId="0C277684" w14:textId="7D29B864" w:rsidR="00561E2E" w:rsidRDefault="00561E2E" w:rsidP="00561E2E">
      <w:r>
        <w:t xml:space="preserve">Los procesos formativos en la </w:t>
      </w:r>
      <w:r w:rsidR="00C96910">
        <w:t>e</w:t>
      </w:r>
      <w:r>
        <w:t xml:space="preserve">ducación </w:t>
      </w:r>
      <w:r w:rsidR="00C96910">
        <w:t>s</w:t>
      </w:r>
      <w:r>
        <w:t xml:space="preserve">uperior en Cuba desempeñan un papel crucial en la gestión, incluyendo la planificación estratégica y el logro de resultados relevantes a nivel local. Estos procesos influyen en la toma de decisiones para abordar problemas y encontrar soluciones creativas, mejorando la comunicación y la calidad en el entorno universitario. Además, desarrollan procedimientos y actitudes necesarias que potencian el desempeño profesional futuro. Este artículo tiene como objetivo demostrar los impactos de los procesos formativos en la gestión del desarrollo local en Jagüey Grande. La metodología utilizada fue mixta, combinando enfoques cualitativos y cuantitativos. Esto permitió examinar los indicadores establecidos para evaluar los impactos, identificar metas, resultados y brechas, y continuar perfeccionando la gestión en el Centro Universitario Municipal </w:t>
      </w:r>
      <w:r w:rsidR="00C66996">
        <w:rPr>
          <w:rFonts w:eastAsia="Calibri"/>
          <w:szCs w:val="24"/>
          <w:lang w:val="es-MX"/>
        </w:rPr>
        <w:t>Enrique Rodríguez-Loeches Fernández, del municipio Jagüey Grande, en Matanzas</w:t>
      </w:r>
      <w:r>
        <w:t xml:space="preserve"> y promover la innovación en los modos de actuación profesional en la localidad. Los resultados presentados forman parte del proceso investigativo de la autora principal en su formación doctoral.</w:t>
      </w:r>
    </w:p>
    <w:p w14:paraId="42ADB424" w14:textId="77777777" w:rsidR="00DA2434" w:rsidRDefault="00DA2434" w:rsidP="00DA2434">
      <w:pPr>
        <w:widowControl w:val="0"/>
        <w:rPr>
          <w:rFonts w:eastAsia="Calibri"/>
          <w:szCs w:val="24"/>
          <w:lang w:val="es-MX"/>
        </w:rPr>
      </w:pPr>
      <w:r w:rsidRPr="00517A0C">
        <w:rPr>
          <w:rFonts w:eastAsia="Calibri"/>
          <w:i/>
          <w:iCs/>
          <w:szCs w:val="24"/>
          <w:lang w:val="es-MX"/>
        </w:rPr>
        <w:t>Palabras clave</w:t>
      </w:r>
      <w:r>
        <w:rPr>
          <w:rFonts w:eastAsia="Calibri"/>
          <w:b/>
          <w:bCs/>
          <w:szCs w:val="24"/>
          <w:lang w:val="es-MX"/>
        </w:rPr>
        <w:t>:</w:t>
      </w:r>
      <w:r>
        <w:rPr>
          <w:rFonts w:eastAsia="Calibri"/>
          <w:szCs w:val="24"/>
          <w:lang w:val="es-MX"/>
        </w:rPr>
        <w:t xml:space="preserve"> procesos formativos, gestión, desarrollo local y centro universitario municipal.</w:t>
      </w:r>
    </w:p>
    <w:p w14:paraId="1F522AD0" w14:textId="77777777" w:rsidR="0095567A" w:rsidRPr="0095567A" w:rsidRDefault="0095567A" w:rsidP="003F2DDE">
      <w:pPr>
        <w:pStyle w:val="Ttulo1"/>
        <w:jc w:val="both"/>
        <w:rPr>
          <w:rFonts w:eastAsia="Calibri"/>
          <w:lang w:val="en-US"/>
        </w:rPr>
      </w:pPr>
      <w:r w:rsidRPr="0095567A">
        <w:rPr>
          <w:rFonts w:eastAsia="Calibri"/>
          <w:lang w:val="en-US"/>
        </w:rPr>
        <w:t>ABSTRACT</w:t>
      </w:r>
    </w:p>
    <w:p w14:paraId="62D2AD77" w14:textId="4926C0ED" w:rsidR="00721DA7" w:rsidRDefault="003F2DDE" w:rsidP="0095567A">
      <w:pPr>
        <w:widowControl w:val="0"/>
        <w:rPr>
          <w:rFonts w:eastAsia="Calibri"/>
          <w:szCs w:val="24"/>
          <w:lang w:val="en-US"/>
        </w:rPr>
      </w:pPr>
      <w:r w:rsidRPr="003F2DDE">
        <w:rPr>
          <w:rFonts w:eastAsia="Calibri"/>
          <w:szCs w:val="24"/>
          <w:lang w:val="en-US"/>
        </w:rPr>
        <w:t xml:space="preserve">Training processes in higher education in Cuba play a crucial role in management, including strategic planning and achieving locally relevant results. These processes influence decision making to address problems and find creative solutions, improving communication and quality in the university environment. In addition, they develop necessary procedures and attitudes that enhance future professional performance. This article aims to demonstrate the impacts of training processes in the management of local development in Jagüey Grande. The methodology used was mixed, combining qualitative and quantitative approaches. This allowed us to examine the indicators established to </w:t>
      </w:r>
      <w:r w:rsidRPr="003F2DDE">
        <w:rPr>
          <w:rFonts w:eastAsia="Calibri"/>
          <w:szCs w:val="24"/>
          <w:lang w:val="en-US"/>
        </w:rPr>
        <w:lastRenderedPageBreak/>
        <w:t>evaluate the impacts, identify goals, results and gaps, and continue to improve management at the Enrique Rodríguez-Loeches Fernández Municipal University Center, in the Jagüey Grande municipality, in Matanzas, and promote innovation in</w:t>
      </w:r>
      <w:r w:rsidR="00D01449">
        <w:rPr>
          <w:rFonts w:eastAsia="Calibri"/>
          <w:szCs w:val="24"/>
          <w:lang w:val="en-US"/>
        </w:rPr>
        <w:t xml:space="preserve"> professional action modes </w:t>
      </w:r>
      <w:r w:rsidRPr="003F2DDE">
        <w:rPr>
          <w:rFonts w:eastAsia="Calibri"/>
          <w:szCs w:val="24"/>
          <w:lang w:val="en-US"/>
        </w:rPr>
        <w:t>in the locality. The results presented are part of the research process of the main author in her doctoral training.</w:t>
      </w:r>
    </w:p>
    <w:p w14:paraId="4751D01C" w14:textId="5479E1A7" w:rsidR="0095567A" w:rsidRPr="00C52DF0" w:rsidRDefault="0095567A" w:rsidP="0095567A">
      <w:pPr>
        <w:widowControl w:val="0"/>
        <w:rPr>
          <w:rFonts w:eastAsia="Calibri"/>
          <w:szCs w:val="24"/>
          <w:lang w:val="en-US"/>
        </w:rPr>
      </w:pPr>
      <w:r w:rsidRPr="00C52DF0">
        <w:rPr>
          <w:rFonts w:eastAsia="Calibri"/>
          <w:i/>
          <w:iCs/>
          <w:szCs w:val="24"/>
          <w:lang w:val="en-US"/>
        </w:rPr>
        <w:t>Keywords</w:t>
      </w:r>
      <w:r w:rsidRPr="00C52DF0">
        <w:rPr>
          <w:rFonts w:eastAsia="Calibri"/>
          <w:szCs w:val="24"/>
          <w:lang w:val="en-US"/>
        </w:rPr>
        <w:t>: educational processes, management, local development, municipal university center.</w:t>
      </w:r>
    </w:p>
    <w:p w14:paraId="256E6305" w14:textId="77777777" w:rsidR="004D7E40" w:rsidRPr="00D01449" w:rsidRDefault="004D7E40" w:rsidP="009F1C04">
      <w:pPr>
        <w:pStyle w:val="Ttulo1"/>
        <w:rPr>
          <w:lang w:val="en-US"/>
        </w:rPr>
      </w:pPr>
    </w:p>
    <w:p w14:paraId="2251A779" w14:textId="3216880F" w:rsidR="009F1C04" w:rsidRPr="00604BE9" w:rsidRDefault="009F1C04" w:rsidP="009F1C04">
      <w:pPr>
        <w:pStyle w:val="Ttulo1"/>
        <w:rPr>
          <w:lang w:val="es-MX"/>
        </w:rPr>
      </w:pPr>
      <w:r w:rsidRPr="00604BE9">
        <w:rPr>
          <w:lang w:val="es-MX"/>
        </w:rPr>
        <w:t>INTRODUCCIÓN</w:t>
      </w:r>
    </w:p>
    <w:p w14:paraId="31929929" w14:textId="77777777" w:rsidR="009F1C04" w:rsidRPr="00604BE9" w:rsidRDefault="009F1C04" w:rsidP="009F1C04">
      <w:pPr>
        <w:rPr>
          <w:lang w:val="es-MX"/>
        </w:rPr>
      </w:pPr>
      <w:r w:rsidRPr="00604BE9">
        <w:rPr>
          <w:lang w:val="es-MX"/>
        </w:rPr>
        <w:t xml:space="preserve">En la actualidad se aprecian las constantes transformaciones a las que se ve sometida la sociedad cubana, lo cual impone nuevos retos en las instituciones formadoras de profesionales en el contexto global y deben responder a problemáticas más relevantes de la </w:t>
      </w:r>
      <w:r>
        <w:rPr>
          <w:lang w:val="es-MX"/>
        </w:rPr>
        <w:t>e</w:t>
      </w:r>
      <w:r w:rsidRPr="00604BE9">
        <w:rPr>
          <w:lang w:val="es-MX"/>
        </w:rPr>
        <w:t xml:space="preserve">ducación </w:t>
      </w:r>
      <w:r>
        <w:rPr>
          <w:lang w:val="es-MX"/>
        </w:rPr>
        <w:t>s</w:t>
      </w:r>
      <w:r w:rsidRPr="00604BE9">
        <w:rPr>
          <w:lang w:val="es-MX"/>
        </w:rPr>
        <w:t xml:space="preserve">uperior. En este escenario, los procesos formativos demandan la utilización de la gestión para fortalecer su calidad y así tributar al desarrollo local desde perspectivas diferentes. </w:t>
      </w:r>
    </w:p>
    <w:p w14:paraId="11FC7134" w14:textId="77777777" w:rsidR="0014571F" w:rsidRDefault="0014571F" w:rsidP="0014571F">
      <w:pPr>
        <w:rPr>
          <w:lang w:val="es-ES_tradnl"/>
        </w:rPr>
      </w:pPr>
      <w:r w:rsidRPr="0014571F">
        <w:rPr>
          <w:lang w:val="es-ES_tradnl"/>
        </w:rPr>
        <w:t>El proceso formativo se presenta como un proceso general que abarca diversas dimensiones e indicadores. Su principal objetivo es mejorar la calidad de la preparación del estudiante universitario como individuo social, estableciendo una interrelación con los procesos educativos, de desarrollo e instructivos de manera dialéctica, con el propósito de lograr su integralidad al incorporarse a la vida laboral y a la sociedad.</w:t>
      </w:r>
    </w:p>
    <w:p w14:paraId="154B494C" w14:textId="170454CE" w:rsidR="0014571F" w:rsidRDefault="0014571F" w:rsidP="0014571F">
      <w:pPr>
        <w:rPr>
          <w:lang w:val="es-ES_tradnl"/>
        </w:rPr>
      </w:pPr>
      <w:r w:rsidRPr="0014571F">
        <w:rPr>
          <w:lang w:val="es-ES_tradnl"/>
        </w:rPr>
        <w:t xml:space="preserve">En otras palabras, varios procesos formativos requieren un estudio y análisis del contexto social en la gestión del desarrollo local, a través de la aplicación de los conocimientos, habilidades y formas de actuación adquiridos por los estudiantes durante su desempeño universitario. Estos procesos aseguran su funcionalidad y fomentan la participación colectiva entre profesores universitarios, estudiantes, grupos y agentes locales, influyendo en la transformación de la sociedad en general. Si se gestionan con calidad y se desarrollan </w:t>
      </w:r>
      <w:r w:rsidR="006133C5" w:rsidRPr="0014571F">
        <w:rPr>
          <w:lang w:val="es-ES_tradnl"/>
        </w:rPr>
        <w:t>de acuerdo con</w:t>
      </w:r>
      <w:r w:rsidRPr="0014571F">
        <w:rPr>
          <w:lang w:val="es-ES_tradnl"/>
        </w:rPr>
        <w:t xml:space="preserve"> las necesidades formativas de cada individuo, se potencia su capacidad cognitiva e intelectual.</w:t>
      </w:r>
    </w:p>
    <w:p w14:paraId="123CD8AF" w14:textId="77777777" w:rsidR="009F1C04" w:rsidRPr="00604BE9" w:rsidRDefault="009F1C04" w:rsidP="009F1C04">
      <w:pPr>
        <w:rPr>
          <w:lang w:val="es-MX"/>
        </w:rPr>
      </w:pPr>
      <w:r w:rsidRPr="00604BE9">
        <w:rPr>
          <w:lang w:val="es-MX"/>
        </w:rPr>
        <w:lastRenderedPageBreak/>
        <w:t xml:space="preserve">Fernández (2023) con la participación educativa en el desarrollo local, habla a las claras de lo que se puede lograr si se asume esta como dimensión de la gestión de la administración pública, por lo que se revela su papel esencial y necesario en los propósitos descritos. </w:t>
      </w:r>
    </w:p>
    <w:p w14:paraId="43517216" w14:textId="54534BDF" w:rsidR="009F1C04" w:rsidRPr="00604BE9" w:rsidRDefault="009F1C04" w:rsidP="009F1C04">
      <w:pPr>
        <w:rPr>
          <w:lang w:val="es-MX"/>
        </w:rPr>
      </w:pPr>
      <w:r w:rsidRPr="00604BE9">
        <w:rPr>
          <w:lang w:val="es-MX"/>
        </w:rPr>
        <w:t>Durante las sesiones de trabajo del Congreso Internacional de Educación Superior Universidad 2020, específicamente en el XII Taller Internacional ¨Universidad, Ciencia y Tecnología¨, se enfatizó en la necesidad de mayores conexiones de la educación superior en los municipios, como garante de mejor formación del potencial humano, en función del desarrollo local. La interrogante</w:t>
      </w:r>
      <w:r w:rsidR="00544882">
        <w:rPr>
          <w:lang w:val="es-MX"/>
        </w:rPr>
        <w:t xml:space="preserve"> </w:t>
      </w:r>
      <w:r w:rsidRPr="00604BE9">
        <w:rPr>
          <w:lang w:val="es-MX"/>
        </w:rPr>
        <w:t>¿</w:t>
      </w:r>
      <w:r w:rsidR="00544882">
        <w:rPr>
          <w:lang w:val="es-MX"/>
        </w:rPr>
        <w:t>q</w:t>
      </w:r>
      <w:r w:rsidRPr="00604BE9">
        <w:rPr>
          <w:lang w:val="es-MX"/>
        </w:rPr>
        <w:t xml:space="preserve">ué están haciendo y qué pueden hacer los </w:t>
      </w:r>
      <w:r w:rsidR="0011483C">
        <w:rPr>
          <w:lang w:val="es-MX"/>
        </w:rPr>
        <w:t>c</w:t>
      </w:r>
      <w:r w:rsidRPr="00604BE9">
        <w:rPr>
          <w:lang w:val="es-MX"/>
        </w:rPr>
        <w:t xml:space="preserve">entros </w:t>
      </w:r>
      <w:r w:rsidR="0011483C">
        <w:rPr>
          <w:lang w:val="es-MX"/>
        </w:rPr>
        <w:t>u</w:t>
      </w:r>
      <w:r w:rsidRPr="00604BE9">
        <w:rPr>
          <w:lang w:val="es-MX"/>
        </w:rPr>
        <w:t xml:space="preserve">niversitarios </w:t>
      </w:r>
      <w:r w:rsidR="0011483C">
        <w:rPr>
          <w:lang w:val="es-MX"/>
        </w:rPr>
        <w:t>m</w:t>
      </w:r>
      <w:r w:rsidRPr="00604BE9">
        <w:rPr>
          <w:lang w:val="es-MX"/>
        </w:rPr>
        <w:t xml:space="preserve">unicipales por el </w:t>
      </w:r>
      <w:r w:rsidR="0011483C">
        <w:rPr>
          <w:lang w:val="es-MX"/>
        </w:rPr>
        <w:t>d</w:t>
      </w:r>
      <w:r w:rsidRPr="00604BE9">
        <w:rPr>
          <w:lang w:val="es-MX"/>
        </w:rPr>
        <w:t xml:space="preserve">esarrollo </w:t>
      </w:r>
      <w:r w:rsidR="0011483C">
        <w:rPr>
          <w:lang w:val="es-MX"/>
        </w:rPr>
        <w:t>l</w:t>
      </w:r>
      <w:r w:rsidRPr="00604BE9">
        <w:rPr>
          <w:lang w:val="es-MX"/>
        </w:rPr>
        <w:t xml:space="preserve">ocal? (GUCID, 2020) marcó un despegue en cómo continuar avanzando en la formación del potencial humano y el desarrollo local. </w:t>
      </w:r>
    </w:p>
    <w:p w14:paraId="3AA3FB26" w14:textId="57728F47" w:rsidR="00107980" w:rsidRDefault="00107980" w:rsidP="00107980">
      <w:pPr>
        <w:rPr>
          <w:lang w:val="es-MX"/>
        </w:rPr>
      </w:pPr>
      <w:r w:rsidRPr="00107980">
        <w:rPr>
          <w:lang w:val="es-MX"/>
        </w:rPr>
        <w:t xml:space="preserve">Gestionarlos es fundamental en los </w:t>
      </w:r>
      <w:r w:rsidR="0011483C">
        <w:rPr>
          <w:lang w:val="es-MX"/>
        </w:rPr>
        <w:t>c</w:t>
      </w:r>
      <w:r w:rsidRPr="00107980">
        <w:rPr>
          <w:lang w:val="es-MX"/>
        </w:rPr>
        <w:t xml:space="preserve">entros </w:t>
      </w:r>
      <w:r w:rsidR="0011483C">
        <w:rPr>
          <w:lang w:val="es-MX"/>
        </w:rPr>
        <w:t>u</w:t>
      </w:r>
      <w:r w:rsidRPr="00107980">
        <w:rPr>
          <w:lang w:val="es-MX"/>
        </w:rPr>
        <w:t xml:space="preserve">niversitarios </w:t>
      </w:r>
      <w:r w:rsidR="007878D2">
        <w:rPr>
          <w:lang w:val="es-MX"/>
        </w:rPr>
        <w:t>m</w:t>
      </w:r>
      <w:r w:rsidRPr="00107980">
        <w:rPr>
          <w:lang w:val="es-MX"/>
        </w:rPr>
        <w:t>unicipales (CUM) para promover el desarrollo local. Este tema es recurrente a nivel internacional, regional y nacional debido a su impacto en la formación profesional y el desarrollo local en el contexto social y económico. Según Castanedo (2019), se ha incorporado de manera creciente, destacando la importancia de su enfoque en la mejora continua de la calidad y el enfoque sistémico. Esto implica identificar, comprender y gestionar los procesos interrelacionados para lograr los objetivos de formación profesional de manera eficiente y eficaz.</w:t>
      </w:r>
    </w:p>
    <w:p w14:paraId="61E6760E" w14:textId="261E0BFC" w:rsidR="009F1C04" w:rsidRPr="00604BE9" w:rsidRDefault="009F1C04" w:rsidP="009F1C04">
      <w:pPr>
        <w:rPr>
          <w:lang w:val="es-MX"/>
        </w:rPr>
      </w:pPr>
      <w:r w:rsidRPr="00604BE9">
        <w:rPr>
          <w:lang w:val="es-MX"/>
        </w:rPr>
        <w:t>Pavón (2014) en (Ponjuán et al, 2014) afirma que “gestión implica la identificación, adquisición, desarrollo, comportamiento y distribución, uso, retención y medición del conocimiento como proceso estratégico de su gestión” (p.18). Además</w:t>
      </w:r>
      <w:r w:rsidR="00BE7DD6">
        <w:rPr>
          <w:lang w:val="es-MX"/>
        </w:rPr>
        <w:t>,</w:t>
      </w:r>
      <w:r w:rsidRPr="00604BE9">
        <w:rPr>
          <w:lang w:val="es-MX"/>
        </w:rPr>
        <w:t xml:space="preserve"> Ponjuán </w:t>
      </w:r>
      <w:r>
        <w:rPr>
          <w:lang w:val="es-MX"/>
        </w:rPr>
        <w:t>y colaboradores</w:t>
      </w:r>
      <w:r w:rsidRPr="00604BE9">
        <w:rPr>
          <w:lang w:val="es-MX"/>
        </w:rPr>
        <w:t xml:space="preserve"> (2014, p.34) refiere</w:t>
      </w:r>
      <w:r>
        <w:rPr>
          <w:lang w:val="es-MX"/>
        </w:rPr>
        <w:t>n</w:t>
      </w:r>
      <w:r w:rsidRPr="00604BE9">
        <w:rPr>
          <w:lang w:val="es-MX"/>
        </w:rPr>
        <w:t xml:space="preserve"> que la gestión permite la creación y aplicación del conocimiento, al propiciar la colaboración en la identificación de problemas locales, identificación de personas y organizaciones que aporten el conocimiento y la construcción de nexos y redes. </w:t>
      </w:r>
    </w:p>
    <w:p w14:paraId="614BE022" w14:textId="77777777" w:rsidR="009F1C04" w:rsidRPr="00604BE9" w:rsidRDefault="009F1C04" w:rsidP="009F1C04">
      <w:pPr>
        <w:rPr>
          <w:lang w:val="es-MX"/>
        </w:rPr>
      </w:pPr>
      <w:r w:rsidRPr="00604BE9">
        <w:rPr>
          <w:lang w:val="es-MX"/>
        </w:rPr>
        <w:t xml:space="preserve">Urgellés y Rodríguez (2017) reconocen lo expresado por Blakely (s/a) al afirmar el rol decisivo de la participación social en los procesos de desarrollo local, cómo influyen en la determinación de las </w:t>
      </w:r>
      <w:r w:rsidRPr="00604BE9">
        <w:rPr>
          <w:lang w:val="es-MX"/>
        </w:rPr>
        <w:lastRenderedPageBreak/>
        <w:t xml:space="preserve">políticas y estrategias que se implementen, el valor de todos los factores para dinamizar las potencialidades. </w:t>
      </w:r>
    </w:p>
    <w:p w14:paraId="36E26B84" w14:textId="77777777" w:rsidR="009F1C04" w:rsidRPr="00604BE9" w:rsidRDefault="009F1C04" w:rsidP="009F1C04">
      <w:pPr>
        <w:rPr>
          <w:lang w:val="es-MX"/>
        </w:rPr>
      </w:pPr>
      <w:r w:rsidRPr="00604BE9">
        <w:rPr>
          <w:lang w:val="es-MX"/>
        </w:rPr>
        <w:t xml:space="preserve">Los intereses del estudiante en formación, los egresados y su entidad laboral, se han ido fortaleciendo así como el liderazgo del CUM, con la organización y planificación de los indicadores a desarrollar en el fomento de la calidad de los procesos formativos, como se destaca en las investigaciones de los autores Cruzata y Álvarez (2019, p. 515). Por ello se argumenta en la necesidad de la identificación de indicadores que permitan evaluar la gestión, con los recursos humanos que se cuenta, para ejecutar y transformar los intereses de formación en ellos. </w:t>
      </w:r>
    </w:p>
    <w:p w14:paraId="274387C3" w14:textId="77777777" w:rsidR="009F1C04" w:rsidRPr="00604BE9" w:rsidRDefault="009F1C04" w:rsidP="009F1C04">
      <w:pPr>
        <w:rPr>
          <w:lang w:val="es-MX"/>
        </w:rPr>
      </w:pPr>
      <w:r w:rsidRPr="00604BE9">
        <w:rPr>
          <w:lang w:val="es-MX"/>
        </w:rPr>
        <w:t xml:space="preserve">En Cuba los procesos formativos juegan un papel decisivo desde la gestión de los CUM, mediante ellos se logra accionar el cumplimiento de la planificación estratégica y el alcance de resultados cognitivos relevantes a nivel local. Se revierte en el desarrollo local con la toma de decisiones acertadas por los profesionales que se forman, sus formadores y otros agentes que interactúan en la adquisición de sus conocimientos. </w:t>
      </w:r>
    </w:p>
    <w:p w14:paraId="64BC1164" w14:textId="77777777" w:rsidR="009F1C04" w:rsidRDefault="009F1C04" w:rsidP="009F1C04">
      <w:pPr>
        <w:rPr>
          <w:lang w:val="es-MX"/>
        </w:rPr>
      </w:pPr>
      <w:r w:rsidRPr="00604BE9">
        <w:rPr>
          <w:lang w:val="es-MX"/>
        </w:rPr>
        <w:t>Se pueden afrontar los problemas y dar soluciones creativas, facilitan la comunicación y ayudan a mejorar la calidad en el ambiente universitario, con el empleo de procedimientos o actitudes necesarias para potenciar su desempeño profesional futuro. Estos aspectos demuestran la relevancia y pertinencia del tema, pero que todavía requieren de perfeccionamiento, por lo que se propone como objetivo del presente artículo demostrar los impactos de los procesos formativos en la gestión para el desarrollo local jagüeyense.</w:t>
      </w:r>
    </w:p>
    <w:p w14:paraId="1DF40318" w14:textId="77777777" w:rsidR="009F1C04" w:rsidRDefault="009F1C04" w:rsidP="009F1C04">
      <w:pPr>
        <w:pStyle w:val="Ttulo1"/>
        <w:rPr>
          <w:rFonts w:eastAsia="Calibri"/>
          <w:lang w:val="es-MX"/>
        </w:rPr>
      </w:pPr>
      <w:r>
        <w:rPr>
          <w:rFonts w:eastAsia="Calibri"/>
          <w:lang w:val="es-MX"/>
        </w:rPr>
        <w:t>DESARROLLO</w:t>
      </w:r>
    </w:p>
    <w:p w14:paraId="35277A6C" w14:textId="6E721BAC" w:rsidR="009F1C04" w:rsidRDefault="009F1C04" w:rsidP="009F1C04">
      <w:pPr>
        <w:widowControl w:val="0"/>
        <w:rPr>
          <w:rFonts w:eastAsia="Calibri"/>
          <w:szCs w:val="24"/>
          <w:lang w:val="es-MX"/>
        </w:rPr>
      </w:pPr>
      <w:r>
        <w:rPr>
          <w:rFonts w:eastAsia="Calibri"/>
          <w:szCs w:val="24"/>
          <w:lang w:val="es-MX"/>
        </w:rPr>
        <w:t>La investigación es aplicada en el CUM Enrique Rodríguez-Loeches Fernández</w:t>
      </w:r>
      <w:r w:rsidR="00821E76">
        <w:rPr>
          <w:rFonts w:eastAsia="Calibri"/>
          <w:szCs w:val="24"/>
          <w:lang w:val="es-MX"/>
        </w:rPr>
        <w:t xml:space="preserve">, </w:t>
      </w:r>
      <w:r>
        <w:rPr>
          <w:rFonts w:eastAsia="Calibri"/>
          <w:szCs w:val="24"/>
          <w:lang w:val="es-MX"/>
        </w:rPr>
        <w:t xml:space="preserve">del municipio Jagüey Grande, en Matanzas. Este CUM en la actualidad cuenta con su estructura de dirección completa, 33 profesores a tiempo completo y </w:t>
      </w:r>
      <w:r>
        <w:rPr>
          <w:rFonts w:eastAsia="Calibri"/>
          <w:szCs w:val="24"/>
        </w:rPr>
        <w:t xml:space="preserve">cuatro </w:t>
      </w:r>
      <w:r>
        <w:rPr>
          <w:rFonts w:eastAsia="Calibri"/>
          <w:szCs w:val="24"/>
          <w:lang w:val="es-MX"/>
        </w:rPr>
        <w:t>profesores reincorporados, con una estrategia de sostenibilidad del claustro dirigida al crecimiento en grados científicos y categorías docentes, pues solo cinco ostentan grados científicos (en Ciencias Pedagógicas</w:t>
      </w:r>
      <w:r>
        <w:rPr>
          <w:rFonts w:eastAsia="Calibri"/>
          <w:szCs w:val="24"/>
        </w:rPr>
        <w:t xml:space="preserve"> uno</w:t>
      </w:r>
      <w:r>
        <w:rPr>
          <w:rFonts w:eastAsia="Calibri"/>
          <w:szCs w:val="24"/>
          <w:lang w:val="es-MX"/>
        </w:rPr>
        <w:t xml:space="preserve">, </w:t>
      </w:r>
      <w:r>
        <w:rPr>
          <w:rFonts w:eastAsia="Calibri"/>
          <w:szCs w:val="24"/>
        </w:rPr>
        <w:t xml:space="preserve">otro en </w:t>
      </w:r>
      <w:r>
        <w:rPr>
          <w:rFonts w:eastAsia="Calibri"/>
          <w:szCs w:val="24"/>
          <w:lang w:val="es-MX"/>
        </w:rPr>
        <w:t xml:space="preserve">Ciencias </w:t>
      </w:r>
      <w:r>
        <w:rPr>
          <w:rFonts w:eastAsia="Calibri"/>
          <w:szCs w:val="24"/>
        </w:rPr>
        <w:t xml:space="preserve">de la </w:t>
      </w:r>
      <w:r>
        <w:rPr>
          <w:rFonts w:eastAsia="Calibri"/>
          <w:szCs w:val="24"/>
          <w:lang w:val="es-MX"/>
        </w:rPr>
        <w:t xml:space="preserve">Física y tres en Ciencias de la </w:t>
      </w:r>
      <w:r>
        <w:rPr>
          <w:rFonts w:eastAsia="Calibri"/>
          <w:szCs w:val="24"/>
          <w:lang w:val="es-MX"/>
        </w:rPr>
        <w:lastRenderedPageBreak/>
        <w:t>Educación, lo que representa del total un 1</w:t>
      </w:r>
      <w:r>
        <w:rPr>
          <w:rFonts w:eastAsia="Calibri"/>
          <w:szCs w:val="24"/>
        </w:rPr>
        <w:t>5</w:t>
      </w:r>
      <w:r>
        <w:rPr>
          <w:rFonts w:eastAsia="Calibri"/>
          <w:szCs w:val="24"/>
          <w:lang w:val="es-MX"/>
        </w:rPr>
        <w:t>,1</w:t>
      </w:r>
      <w:r>
        <w:rPr>
          <w:rFonts w:eastAsia="Calibri"/>
          <w:szCs w:val="24"/>
        </w:rPr>
        <w:t>5</w:t>
      </w:r>
      <w:r>
        <w:rPr>
          <w:rFonts w:eastAsia="Calibri"/>
          <w:szCs w:val="24"/>
          <w:lang w:val="es-MX"/>
        </w:rPr>
        <w:t>%.) y doce exhiben categorías docentes superiores: Titular (3) y Auxiliar (9).</w:t>
      </w:r>
    </w:p>
    <w:p w14:paraId="46905EBF" w14:textId="77777777" w:rsidR="009F1C04" w:rsidRDefault="009F1C04" w:rsidP="009F1C04">
      <w:pPr>
        <w:widowControl w:val="0"/>
        <w:rPr>
          <w:rFonts w:eastAsia="Calibri"/>
          <w:szCs w:val="24"/>
          <w:lang w:val="es-MX"/>
        </w:rPr>
      </w:pPr>
      <w:r>
        <w:rPr>
          <w:rFonts w:eastAsia="Calibri"/>
          <w:szCs w:val="24"/>
          <w:lang w:val="es-MX"/>
        </w:rPr>
        <w:t xml:space="preserve">La selección de la muestra empleada fue de forma intencional con 145 estudiantes de las diferentes modalidades de estudio, tanto en curso por encuentro como curso a distancia, para demostrar el impacto de los procesos formativos de la gestión del desarrollo local jagüeyense. Por su alcance, se caracteriza la constatación de los resultados e impactos alcanzados desde la aplicación del modelo diseñado, para lograr la efectividad y eficiencia de los procesos formativos de la gestión del desarrollo local jagüeyense y el perfeccionamiento de las capacidades profesionales, en vinculación con las necesidades a nivel local. </w:t>
      </w:r>
    </w:p>
    <w:p w14:paraId="2B8F933D" w14:textId="77777777" w:rsidR="009F1C04" w:rsidRDefault="009F1C04" w:rsidP="009F1C04">
      <w:pPr>
        <w:widowControl w:val="0"/>
        <w:rPr>
          <w:rFonts w:eastAsia="Calibri"/>
          <w:szCs w:val="24"/>
          <w:lang w:val="es-MX"/>
        </w:rPr>
      </w:pPr>
      <w:r>
        <w:rPr>
          <w:rFonts w:eastAsia="Calibri"/>
          <w:szCs w:val="24"/>
          <w:lang w:val="es-MX"/>
        </w:rPr>
        <w:t>El enfoque asumido es mixto, se desarrolla una combinación de elementos cualitativos y cuantitativos, pues permiten la búsqueda y procesamiento de datos estadísticos e información para la fundamentación científica y arribar a conclusiones.</w:t>
      </w:r>
    </w:p>
    <w:p w14:paraId="3E105A6F" w14:textId="77777777" w:rsidR="009F1C04" w:rsidRDefault="009F1C04" w:rsidP="009F1C04">
      <w:pPr>
        <w:widowControl w:val="0"/>
        <w:rPr>
          <w:rFonts w:eastAsia="Calibri"/>
          <w:szCs w:val="24"/>
          <w:lang w:val="es-MX"/>
        </w:rPr>
      </w:pPr>
      <w:r>
        <w:rPr>
          <w:rFonts w:eastAsia="Calibri"/>
          <w:szCs w:val="24"/>
          <w:lang w:val="es-MX"/>
        </w:rPr>
        <w:t>Se considera que en el mundo globalizado actual el desarrollo de los procesos formativos mediante modelos de gestión del desarrollo local involucra un desafío estratégico organizacional, lo que obliga a tomar conciencia en qué punto se encuentra el CUM, dónde se ve en un futuro y cómo desarrolla sus actividades para alcanzar los objetivos estratégicos establecidos.</w:t>
      </w:r>
    </w:p>
    <w:p w14:paraId="146A34E9" w14:textId="77777777" w:rsidR="009F1C04" w:rsidRDefault="009F1C04" w:rsidP="009F1C04">
      <w:pPr>
        <w:widowControl w:val="0"/>
        <w:rPr>
          <w:rFonts w:eastAsia="Calibri"/>
          <w:szCs w:val="24"/>
          <w:lang w:val="es-MX"/>
        </w:rPr>
      </w:pPr>
      <w:r>
        <w:rPr>
          <w:rFonts w:eastAsia="Calibri"/>
          <w:szCs w:val="24"/>
          <w:lang w:val="es-MX"/>
        </w:rPr>
        <w:t xml:space="preserve">Según Espinosa y Ramón (2016) la realización de los procesos formativos bajo la conducción de la gestión resulta indispensable, al organizar los esfuerzos y recursos para conseguir una satisfacción aceptada de la asimilación de conocimientos vinculados a las necesidades existentes en los estudiantes y la valoración de cada uno de los procesos que forman parte del sistema organizacional para la formación profesional. </w:t>
      </w:r>
    </w:p>
    <w:p w14:paraId="497C874A" w14:textId="77777777" w:rsidR="009F1C04" w:rsidRDefault="009F1C04" w:rsidP="009F1C04">
      <w:pPr>
        <w:widowControl w:val="0"/>
        <w:rPr>
          <w:rFonts w:eastAsia="Calibri"/>
          <w:szCs w:val="24"/>
          <w:lang w:val="es-MX"/>
        </w:rPr>
      </w:pPr>
      <w:r>
        <w:rPr>
          <w:rFonts w:eastAsia="Calibri"/>
          <w:szCs w:val="24"/>
          <w:lang w:val="es-MX"/>
        </w:rPr>
        <w:t>Planificarlos de forma consciente, como proceso sistemático, dinámico e innovador, es fundamental por su incidencia en el encargo social de contribuir a la formación de un profesional más pleno, más culto y más integral, capaz de enfrentar los complejos problemas del mundo actual y el desarrollo acelerado de la ciencia, la tecnología y la sociedad.</w:t>
      </w:r>
    </w:p>
    <w:p w14:paraId="495F0803" w14:textId="77777777" w:rsidR="009F1C04" w:rsidRDefault="009F1C04" w:rsidP="009F1C04">
      <w:pPr>
        <w:widowControl w:val="0"/>
        <w:rPr>
          <w:rFonts w:eastAsia="Calibri"/>
          <w:szCs w:val="24"/>
          <w:lang w:val="es-MX"/>
        </w:rPr>
      </w:pPr>
      <w:r>
        <w:rPr>
          <w:rFonts w:eastAsia="Calibri"/>
          <w:szCs w:val="24"/>
          <w:lang w:val="es-MX"/>
        </w:rPr>
        <w:lastRenderedPageBreak/>
        <w:t xml:space="preserve">Su aplicación en el CUM se desarrolló a partir del diseño cohesionado del sistema de gestión que se precisa en el modelo teórico metodológico organizado, planificado y controlado con el fin de alcanzar una mejora de la eficiencia interna del centro y valorar los resultados de los procesos formativos, así como los indicadores trazados en función de medir su impacto a nivel local. </w:t>
      </w:r>
    </w:p>
    <w:p w14:paraId="5DC324AB" w14:textId="77777777" w:rsidR="009F1C04" w:rsidRDefault="009F1C04" w:rsidP="009F1C04">
      <w:pPr>
        <w:widowControl w:val="0"/>
        <w:rPr>
          <w:rFonts w:eastAsia="Calibri"/>
          <w:szCs w:val="24"/>
          <w:lang w:val="es-MX"/>
        </w:rPr>
      </w:pPr>
      <w:r>
        <w:rPr>
          <w:rFonts w:eastAsia="Calibri"/>
          <w:szCs w:val="24"/>
          <w:lang w:val="es-MX"/>
        </w:rPr>
        <w:t>Los indicadores utilizados para la medición del impacto se presentan a continuación:</w:t>
      </w:r>
    </w:p>
    <w:p w14:paraId="22629C33" w14:textId="77777777" w:rsidR="009F1C04" w:rsidRDefault="009F1C04" w:rsidP="009F1C04">
      <w:pPr>
        <w:widowControl w:val="0"/>
        <w:numPr>
          <w:ilvl w:val="0"/>
          <w:numId w:val="18"/>
        </w:numPr>
        <w:spacing w:after="160"/>
        <w:rPr>
          <w:rFonts w:eastAsia="Calibri"/>
          <w:szCs w:val="24"/>
          <w:lang w:val="es-MX"/>
        </w:rPr>
      </w:pPr>
      <w:r>
        <w:rPr>
          <w:rFonts w:eastAsia="Calibri"/>
          <w:szCs w:val="24"/>
          <w:lang w:val="es-MX"/>
        </w:rPr>
        <w:t>Recogida, en el registro de datos personales, de los intereses de estudio según necesidades locales y procedencia laboral o social</w:t>
      </w:r>
    </w:p>
    <w:p w14:paraId="3C0F0F78" w14:textId="77777777" w:rsidR="009F1C04" w:rsidRDefault="009F1C04" w:rsidP="009F1C04">
      <w:pPr>
        <w:widowControl w:val="0"/>
        <w:numPr>
          <w:ilvl w:val="0"/>
          <w:numId w:val="18"/>
        </w:numPr>
        <w:spacing w:after="160"/>
        <w:rPr>
          <w:rFonts w:eastAsia="Calibri"/>
          <w:szCs w:val="24"/>
          <w:lang w:val="es-MX"/>
        </w:rPr>
      </w:pPr>
      <w:r>
        <w:rPr>
          <w:rFonts w:eastAsia="Calibri"/>
          <w:szCs w:val="24"/>
          <w:lang w:val="es-MX"/>
        </w:rPr>
        <w:t>Resultados académicos en los exámenes de admisión según el requisito de la carrera seleccionada</w:t>
      </w:r>
    </w:p>
    <w:p w14:paraId="28D13840" w14:textId="77777777" w:rsidR="009F1C04" w:rsidRDefault="009F1C04" w:rsidP="009F1C04">
      <w:pPr>
        <w:widowControl w:val="0"/>
        <w:numPr>
          <w:ilvl w:val="0"/>
          <w:numId w:val="18"/>
        </w:numPr>
        <w:spacing w:after="160"/>
        <w:rPr>
          <w:rFonts w:eastAsia="Calibri"/>
          <w:szCs w:val="24"/>
          <w:lang w:val="es-MX"/>
        </w:rPr>
      </w:pPr>
      <w:r>
        <w:rPr>
          <w:rFonts w:eastAsia="Calibri"/>
          <w:szCs w:val="24"/>
          <w:lang w:val="es-MX"/>
        </w:rPr>
        <w:t>Aprobación de las asignaturas a cursar, por periodo, que trabajen los procesos formativos desde la gestión del desarrollo local, así como la planificación de las actividades académicas y seguimiento a su proceso de formación</w:t>
      </w:r>
    </w:p>
    <w:p w14:paraId="7D67B7ED" w14:textId="77777777" w:rsidR="009F1C04" w:rsidRDefault="009F1C04" w:rsidP="009F1C04">
      <w:pPr>
        <w:widowControl w:val="0"/>
        <w:numPr>
          <w:ilvl w:val="0"/>
          <w:numId w:val="18"/>
        </w:numPr>
        <w:spacing w:after="160"/>
        <w:rPr>
          <w:rFonts w:eastAsia="Calibri"/>
          <w:szCs w:val="24"/>
          <w:lang w:val="es-MX"/>
        </w:rPr>
      </w:pPr>
      <w:r>
        <w:rPr>
          <w:rFonts w:eastAsia="Calibri"/>
          <w:szCs w:val="24"/>
          <w:lang w:val="es-MX"/>
        </w:rPr>
        <w:t>Realización de una búsqueda de las potencialidades de organizaciones e instituciones de la localidad para desarrollar la formación laboral e investigación en cada carrera, teniendo en cuenta la disciplina, el año y la asignatura.</w:t>
      </w:r>
    </w:p>
    <w:p w14:paraId="0F0806A5" w14:textId="77777777" w:rsidR="009F1C04" w:rsidRPr="00E6639B" w:rsidRDefault="009F1C04" w:rsidP="009F1C04">
      <w:pPr>
        <w:widowControl w:val="0"/>
        <w:numPr>
          <w:ilvl w:val="0"/>
          <w:numId w:val="18"/>
        </w:numPr>
        <w:spacing w:after="160"/>
        <w:rPr>
          <w:rFonts w:eastAsia="Calibri"/>
          <w:szCs w:val="24"/>
          <w:lang w:val="es-MX"/>
        </w:rPr>
      </w:pPr>
      <w:r w:rsidRPr="00E6639B">
        <w:rPr>
          <w:rFonts w:eastAsia="Calibri"/>
          <w:szCs w:val="24"/>
          <w:lang w:val="es-MX"/>
        </w:rPr>
        <w:t>Establecimiento de relaciones de trabajo en red para el diseño de convenios y proyectos, donde se logre la participación de los docentes, estudiantes y egresados en proyectos de instituciones científicas.</w:t>
      </w:r>
    </w:p>
    <w:p w14:paraId="41F3B20C" w14:textId="77777777" w:rsidR="009F1C04" w:rsidRDefault="009F1C04" w:rsidP="009F1C04">
      <w:pPr>
        <w:widowControl w:val="0"/>
        <w:numPr>
          <w:ilvl w:val="0"/>
          <w:numId w:val="18"/>
        </w:numPr>
        <w:spacing w:after="160"/>
        <w:rPr>
          <w:rFonts w:eastAsia="Calibri"/>
          <w:szCs w:val="24"/>
          <w:lang w:val="es-MX"/>
        </w:rPr>
      </w:pPr>
      <w:r>
        <w:rPr>
          <w:rFonts w:eastAsia="Calibri"/>
          <w:szCs w:val="24"/>
          <w:lang w:val="es-MX"/>
        </w:rPr>
        <w:t>Gestión de los procesos de organización y planificación de actividades para el desarrollo de la actividad laboral investigativa</w:t>
      </w:r>
    </w:p>
    <w:p w14:paraId="3D02427D" w14:textId="77777777" w:rsidR="009F1C04" w:rsidRDefault="009F1C04" w:rsidP="009F1C04">
      <w:pPr>
        <w:widowControl w:val="0"/>
        <w:numPr>
          <w:ilvl w:val="0"/>
          <w:numId w:val="18"/>
        </w:numPr>
        <w:spacing w:after="160"/>
        <w:rPr>
          <w:rFonts w:eastAsia="Calibri"/>
          <w:szCs w:val="24"/>
          <w:lang w:val="es-MX"/>
        </w:rPr>
      </w:pPr>
      <w:r>
        <w:rPr>
          <w:rFonts w:eastAsia="Calibri"/>
          <w:szCs w:val="24"/>
          <w:lang w:val="es-MX"/>
        </w:rPr>
        <w:t>Seguimiento al proceso de evaluaciones sistemáticas, parciales y finales en correspondencia con el proceso de enseñanza-aprendizaje</w:t>
      </w:r>
    </w:p>
    <w:p w14:paraId="1ABD7DDE" w14:textId="77777777" w:rsidR="009F1C04" w:rsidRDefault="009F1C04" w:rsidP="009F1C04">
      <w:pPr>
        <w:widowControl w:val="0"/>
        <w:numPr>
          <w:ilvl w:val="0"/>
          <w:numId w:val="18"/>
        </w:numPr>
        <w:spacing w:after="160"/>
        <w:rPr>
          <w:rFonts w:eastAsia="Calibri"/>
          <w:szCs w:val="24"/>
          <w:lang w:val="es-MX"/>
        </w:rPr>
      </w:pPr>
      <w:r>
        <w:rPr>
          <w:rFonts w:eastAsia="Calibri"/>
          <w:szCs w:val="24"/>
          <w:lang w:val="es-MX"/>
        </w:rPr>
        <w:t>Introducción de los resultados científicos en las prácticas laborales investigativas</w:t>
      </w:r>
    </w:p>
    <w:p w14:paraId="729279EC" w14:textId="77777777" w:rsidR="009F1C04" w:rsidRDefault="009F1C04" w:rsidP="009F1C04">
      <w:pPr>
        <w:widowControl w:val="0"/>
        <w:numPr>
          <w:ilvl w:val="0"/>
          <w:numId w:val="18"/>
        </w:numPr>
        <w:spacing w:after="160"/>
        <w:rPr>
          <w:rFonts w:eastAsia="Calibri"/>
          <w:szCs w:val="24"/>
          <w:lang w:val="es-MX"/>
        </w:rPr>
      </w:pPr>
      <w:r>
        <w:rPr>
          <w:rFonts w:eastAsia="Calibri"/>
          <w:szCs w:val="24"/>
          <w:lang w:val="es-MX"/>
        </w:rPr>
        <w:lastRenderedPageBreak/>
        <w:t>Aprobación de los trabajos de cursos, diplomas o modalidad de culminación de estudio para su carrera</w:t>
      </w:r>
    </w:p>
    <w:p w14:paraId="785C4F7D" w14:textId="77777777" w:rsidR="009F1C04" w:rsidRDefault="009F1C04" w:rsidP="009F1C04">
      <w:pPr>
        <w:widowControl w:val="0"/>
        <w:numPr>
          <w:ilvl w:val="0"/>
          <w:numId w:val="18"/>
        </w:numPr>
        <w:spacing w:after="160"/>
        <w:rPr>
          <w:rFonts w:eastAsia="Calibri"/>
          <w:szCs w:val="24"/>
          <w:lang w:val="es-MX"/>
        </w:rPr>
      </w:pPr>
      <w:r>
        <w:rPr>
          <w:rFonts w:eastAsia="Calibri"/>
          <w:szCs w:val="24"/>
          <w:lang w:val="es-MX"/>
        </w:rPr>
        <w:t>Inserción laboral de los egresados a la institución convenida en la práctica laboral investigativa.</w:t>
      </w:r>
    </w:p>
    <w:p w14:paraId="086258E3" w14:textId="77777777" w:rsidR="009F1C04" w:rsidRDefault="009F1C04" w:rsidP="009F1C04">
      <w:pPr>
        <w:widowControl w:val="0"/>
        <w:rPr>
          <w:rFonts w:eastAsia="Calibri" w:cs="Times New Roman"/>
          <w:szCs w:val="24"/>
          <w:lang w:val="es-MX"/>
        </w:rPr>
      </w:pPr>
      <w:r>
        <w:rPr>
          <w:rFonts w:eastAsia="Calibri"/>
          <w:szCs w:val="24"/>
          <w:lang w:val="es-MX"/>
        </w:rPr>
        <w:t>La medición de los indicadores establecidos se desarrolló con los siguientes criterios de evaluación: Muy Adecuado (xxxx), Bastante Adecuado (xxx), Adecuado (xx) y Poco Adecuado (x). Al marcar se determinan por la escala del 1 al 4, siendo este último el de mayor rango, lo que permitió evaluar el impacto de la aplicación del modelo teórico metodológico en los procesos formativos para la gestión del desarrollo local en Jagüey Grande.</w:t>
      </w:r>
    </w:p>
    <w:p w14:paraId="3FF8B449" w14:textId="77777777" w:rsidR="009F1C04" w:rsidRDefault="009F1C04" w:rsidP="009F1C04">
      <w:pPr>
        <w:widowControl w:val="0"/>
        <w:rPr>
          <w:rFonts w:eastAsia="Calibri"/>
          <w:szCs w:val="24"/>
          <w:lang w:val="es-MX"/>
        </w:rPr>
      </w:pPr>
      <w:r>
        <w:rPr>
          <w:rFonts w:eastAsia="Calibri"/>
          <w:szCs w:val="24"/>
          <w:lang w:val="es-MX"/>
        </w:rPr>
        <w:t xml:space="preserve">La Agenda 2030 para el desarrollo sostenible acordó en su objetivo 4 (CEPAL, 2017), que se debe garantizar una educación inclusiva, equitativa y de calidad, que promueva oportunidades de aprendizaje durante toda la vida. Ello devela la necesidad de esfuerzos articulados para cumplir con las Metas del milenio, pues solo así se podrá trazar el camino de los procesos formativos para la gestión del desarrollo local, en función de lograr un CUM que gestione con mayor calidad todos sus procesos. </w:t>
      </w:r>
    </w:p>
    <w:p w14:paraId="43293AB9" w14:textId="77777777" w:rsidR="009F1C04" w:rsidRDefault="009F1C04" w:rsidP="009F1C04">
      <w:pPr>
        <w:widowControl w:val="0"/>
        <w:rPr>
          <w:rFonts w:eastAsia="Calibri"/>
          <w:szCs w:val="24"/>
          <w:lang w:val="es-MX"/>
        </w:rPr>
      </w:pPr>
      <w:r>
        <w:rPr>
          <w:rFonts w:eastAsia="Calibri"/>
          <w:szCs w:val="24"/>
        </w:rPr>
        <w:t>L</w:t>
      </w:r>
      <w:r>
        <w:rPr>
          <w:rFonts w:eastAsia="Calibri"/>
          <w:szCs w:val="24"/>
          <w:lang w:val="es-MX"/>
        </w:rPr>
        <w:t xml:space="preserve">os indicadores de medidas se valoraron </w:t>
      </w:r>
      <w:r>
        <w:rPr>
          <w:rFonts w:eastAsia="Calibri"/>
          <w:szCs w:val="24"/>
        </w:rPr>
        <w:t>por</w:t>
      </w:r>
      <w:r>
        <w:rPr>
          <w:rFonts w:eastAsia="Calibri"/>
          <w:szCs w:val="24"/>
          <w:lang w:val="es-MX"/>
        </w:rPr>
        <w:t xml:space="preserve"> su implicación</w:t>
      </w:r>
      <w:r>
        <w:rPr>
          <w:rFonts w:eastAsia="Calibri"/>
          <w:szCs w:val="24"/>
        </w:rPr>
        <w:t xml:space="preserve">, se evidenciaron </w:t>
      </w:r>
      <w:r>
        <w:rPr>
          <w:rFonts w:eastAsia="Calibri"/>
          <w:szCs w:val="24"/>
          <w:lang w:val="es-MX"/>
        </w:rPr>
        <w:t>las múltiples facetas del desarrollo social a nivel local desde el modelo de gestión</w:t>
      </w:r>
      <w:r>
        <w:rPr>
          <w:rFonts w:eastAsia="Calibri"/>
          <w:szCs w:val="24"/>
        </w:rPr>
        <w:t xml:space="preserve"> y</w:t>
      </w:r>
      <w:r>
        <w:rPr>
          <w:rFonts w:eastAsia="Calibri"/>
          <w:szCs w:val="24"/>
          <w:lang w:val="es-MX"/>
        </w:rPr>
        <w:t xml:space="preserve"> los modos de actuación de las nuevas generaciones de profesores universitarios, lo que favorece en los estudiantes universitarios la actitud de cambio y transformación social y, a su vez, impulsar el desarrollo local como proceso multidimensional articulado por la gestión dinámica e innovadora del potencial humano,  como eslabón fundamental en la formación profesional.</w:t>
      </w:r>
    </w:p>
    <w:p w14:paraId="1FBE9BC2" w14:textId="77777777" w:rsidR="009F1C04" w:rsidRDefault="009F1C04" w:rsidP="009F1C04">
      <w:pPr>
        <w:widowControl w:val="0"/>
        <w:rPr>
          <w:rFonts w:eastAsia="Calibri"/>
          <w:szCs w:val="24"/>
          <w:lang w:val="es-MX"/>
        </w:rPr>
      </w:pPr>
      <w:r>
        <w:rPr>
          <w:rFonts w:eastAsia="Calibri"/>
          <w:szCs w:val="24"/>
          <w:lang w:val="es-MX"/>
        </w:rPr>
        <w:t>El análisis de</w:t>
      </w:r>
      <w:r>
        <w:rPr>
          <w:rFonts w:eastAsia="Calibri"/>
          <w:szCs w:val="24"/>
        </w:rPr>
        <w:t xml:space="preserve"> los resultados de</w:t>
      </w:r>
      <w:r>
        <w:rPr>
          <w:rFonts w:eastAsia="Calibri"/>
          <w:szCs w:val="24"/>
          <w:lang w:val="es-MX"/>
        </w:rPr>
        <w:t xml:space="preserve"> la evaluación de los indicadores reveló el impacto de los procesos formativos para la gestión del desarrollo local. En las nueve carreras que existen en el CUM se pudo apreciar que: </w:t>
      </w:r>
    </w:p>
    <w:p w14:paraId="6E6A1F11" w14:textId="778DA4F4" w:rsidR="009F1C04" w:rsidRDefault="009F1C04" w:rsidP="009F1C04">
      <w:pPr>
        <w:widowControl w:val="0"/>
        <w:numPr>
          <w:ilvl w:val="0"/>
          <w:numId w:val="19"/>
        </w:numPr>
        <w:spacing w:after="160"/>
        <w:rPr>
          <w:rFonts w:eastAsia="Calibri"/>
          <w:szCs w:val="24"/>
          <w:lang w:val="es-MX"/>
        </w:rPr>
      </w:pPr>
      <w:r>
        <w:rPr>
          <w:rFonts w:eastAsia="Calibri"/>
          <w:szCs w:val="24"/>
          <w:lang w:val="es-MX"/>
        </w:rPr>
        <w:t xml:space="preserve">En siete </w:t>
      </w:r>
      <w:r>
        <w:rPr>
          <w:rFonts w:eastAsia="Calibri"/>
          <w:szCs w:val="24"/>
        </w:rPr>
        <w:t xml:space="preserve">de las </w:t>
      </w:r>
      <w:r>
        <w:rPr>
          <w:rFonts w:eastAsia="Calibri"/>
          <w:szCs w:val="24"/>
          <w:lang w:val="es-MX"/>
        </w:rPr>
        <w:t xml:space="preserve">carreras, los estudiantes, al seleccionarla, encontraron su </w:t>
      </w:r>
      <w:r>
        <w:rPr>
          <w:rFonts w:eastAsia="Calibri"/>
          <w:szCs w:val="24"/>
        </w:rPr>
        <w:t>motivación por</w:t>
      </w:r>
      <w:r>
        <w:rPr>
          <w:rFonts w:eastAsia="Calibri"/>
          <w:szCs w:val="24"/>
          <w:lang w:val="es-MX"/>
        </w:rPr>
        <w:t xml:space="preserve"> su procedencia laboral, </w:t>
      </w:r>
      <w:r>
        <w:rPr>
          <w:rFonts w:eastAsia="Calibri"/>
          <w:szCs w:val="24"/>
        </w:rPr>
        <w:t>debido a</w:t>
      </w:r>
      <w:r>
        <w:rPr>
          <w:rFonts w:eastAsia="Calibri"/>
          <w:szCs w:val="24"/>
          <w:lang w:val="es-MX"/>
        </w:rPr>
        <w:t xml:space="preserve"> las acertadas orientaciones recibidas en sus instituciones para </w:t>
      </w:r>
      <w:r>
        <w:rPr>
          <w:rFonts w:eastAsia="Calibri"/>
          <w:szCs w:val="24"/>
          <w:lang w:val="es-MX"/>
        </w:rPr>
        <w:lastRenderedPageBreak/>
        <w:t>insertarse al estudio, por lo que se evalúa de Muy Adecuado, mientras que</w:t>
      </w:r>
      <w:r w:rsidR="007D558A">
        <w:rPr>
          <w:rFonts w:eastAsia="Calibri"/>
          <w:szCs w:val="24"/>
          <w:lang w:val="es-MX"/>
        </w:rPr>
        <w:t>,</w:t>
      </w:r>
      <w:r>
        <w:rPr>
          <w:rFonts w:eastAsia="Calibri"/>
          <w:szCs w:val="24"/>
          <w:lang w:val="es-MX"/>
        </w:rPr>
        <w:t xml:space="preserve"> en dos </w:t>
      </w:r>
      <w:r>
        <w:rPr>
          <w:rFonts w:eastAsia="Calibri"/>
          <w:szCs w:val="24"/>
        </w:rPr>
        <w:t xml:space="preserve">de las carreras, </w:t>
      </w:r>
      <w:r>
        <w:rPr>
          <w:rFonts w:eastAsia="Calibri"/>
          <w:szCs w:val="24"/>
          <w:lang w:val="es-MX"/>
        </w:rPr>
        <w:t>el 34,4</w:t>
      </w:r>
      <w:r w:rsidR="00981512">
        <w:rPr>
          <w:rFonts w:eastAsia="Calibri"/>
          <w:szCs w:val="24"/>
          <w:lang w:val="es-MX"/>
        </w:rPr>
        <w:t xml:space="preserve"> </w:t>
      </w:r>
      <w:r>
        <w:rPr>
          <w:rFonts w:eastAsia="Calibri"/>
          <w:szCs w:val="24"/>
          <w:lang w:val="es-MX"/>
        </w:rPr>
        <w:t xml:space="preserve">% de los estudiantes, no procede de una institución que responda a su perfil profesional ni se encuentra actualmente laborando, solo se dedica al estudio, por lo que se evalúa de Poco Adecuado. </w:t>
      </w:r>
    </w:p>
    <w:p w14:paraId="7836B4DA" w14:textId="606E4661" w:rsidR="009F1C04" w:rsidRDefault="009F1C04" w:rsidP="009F1C04">
      <w:pPr>
        <w:widowControl w:val="0"/>
        <w:numPr>
          <w:ilvl w:val="0"/>
          <w:numId w:val="19"/>
        </w:numPr>
        <w:spacing w:after="160"/>
        <w:rPr>
          <w:rFonts w:eastAsia="Calibri"/>
          <w:szCs w:val="24"/>
          <w:lang w:val="es-MX"/>
        </w:rPr>
      </w:pPr>
      <w:r>
        <w:rPr>
          <w:rFonts w:eastAsia="Calibri"/>
          <w:szCs w:val="24"/>
          <w:lang w:val="es-MX"/>
        </w:rPr>
        <w:t xml:space="preserve">En las </w:t>
      </w:r>
      <w:r>
        <w:rPr>
          <w:rFonts w:eastAsia="Calibri"/>
          <w:szCs w:val="24"/>
        </w:rPr>
        <w:t>cuatro</w:t>
      </w:r>
      <w:r>
        <w:rPr>
          <w:rFonts w:eastAsia="Calibri"/>
          <w:szCs w:val="24"/>
          <w:lang w:val="es-MX"/>
        </w:rPr>
        <w:t xml:space="preserve"> carreras donde se aplicó criterio de selección, el 53,7 %</w:t>
      </w:r>
      <w:r>
        <w:rPr>
          <w:rFonts w:eastAsia="Calibri"/>
          <w:szCs w:val="24"/>
        </w:rPr>
        <w:t xml:space="preserve">, de </w:t>
      </w:r>
      <w:r>
        <w:rPr>
          <w:rFonts w:eastAsia="Calibri"/>
          <w:szCs w:val="24"/>
          <w:lang w:val="es-MX"/>
        </w:rPr>
        <w:t xml:space="preserve">los estudiantes </w:t>
      </w:r>
      <w:r>
        <w:rPr>
          <w:rFonts w:eastAsia="Calibri"/>
          <w:szCs w:val="24"/>
        </w:rPr>
        <w:t xml:space="preserve">la </w:t>
      </w:r>
      <w:r>
        <w:rPr>
          <w:rFonts w:eastAsia="Calibri"/>
          <w:szCs w:val="24"/>
          <w:lang w:val="es-MX"/>
        </w:rPr>
        <w:t>alcanzaron</w:t>
      </w:r>
      <w:r>
        <w:rPr>
          <w:rFonts w:eastAsia="Calibri"/>
          <w:szCs w:val="24"/>
        </w:rPr>
        <w:t xml:space="preserve"> satisfactoriamente, lo que permite evaluarlo de </w:t>
      </w:r>
      <w:r>
        <w:rPr>
          <w:rFonts w:eastAsia="Calibri"/>
          <w:szCs w:val="24"/>
          <w:lang w:val="es-MX"/>
        </w:rPr>
        <w:t xml:space="preserve">Bastante Adecuado; </w:t>
      </w:r>
      <w:r>
        <w:rPr>
          <w:rFonts w:eastAsia="Calibri"/>
          <w:szCs w:val="24"/>
        </w:rPr>
        <w:t xml:space="preserve">además, se apreciaron </w:t>
      </w:r>
      <w:r>
        <w:rPr>
          <w:rFonts w:eastAsia="Calibri"/>
          <w:szCs w:val="24"/>
          <w:lang w:val="es-MX"/>
        </w:rPr>
        <w:t xml:space="preserve">resultados académicos </w:t>
      </w:r>
      <w:r>
        <w:rPr>
          <w:rFonts w:eastAsia="Calibri"/>
          <w:szCs w:val="24"/>
        </w:rPr>
        <w:t xml:space="preserve">superiores al curso anterior y </w:t>
      </w:r>
      <w:r>
        <w:rPr>
          <w:rFonts w:eastAsia="Calibri"/>
          <w:szCs w:val="24"/>
          <w:lang w:val="es-MX"/>
        </w:rPr>
        <w:t>en e</w:t>
      </w:r>
      <w:r>
        <w:rPr>
          <w:rFonts w:eastAsia="Calibri"/>
          <w:szCs w:val="24"/>
        </w:rPr>
        <w:t>l</w:t>
      </w:r>
      <w:r>
        <w:rPr>
          <w:rFonts w:eastAsia="Calibri"/>
          <w:szCs w:val="24"/>
          <w:lang w:val="es-MX"/>
        </w:rPr>
        <w:t xml:space="preserve"> rango establecido en los exámenes de admisión, según el requisito de la carrera seleccionada. Igualmente, de la muestra, el 35,7</w:t>
      </w:r>
      <w:r w:rsidR="007D558A">
        <w:rPr>
          <w:rFonts w:eastAsia="Calibri"/>
          <w:szCs w:val="24"/>
          <w:lang w:val="es-MX"/>
        </w:rPr>
        <w:t xml:space="preserve"> </w:t>
      </w:r>
      <w:r>
        <w:rPr>
          <w:rFonts w:eastAsia="Calibri"/>
          <w:szCs w:val="24"/>
          <w:lang w:val="es-MX"/>
        </w:rPr>
        <w:t>%  resultó Adecuado y solo el 10,6% alcanzó el criterio Poco Adecuado.</w:t>
      </w:r>
    </w:p>
    <w:p w14:paraId="65C4FBC4" w14:textId="018EEA08" w:rsidR="009F1C04" w:rsidRDefault="009F1C04" w:rsidP="009F1C04">
      <w:pPr>
        <w:widowControl w:val="0"/>
        <w:numPr>
          <w:ilvl w:val="0"/>
          <w:numId w:val="19"/>
        </w:numPr>
        <w:spacing w:after="160"/>
        <w:rPr>
          <w:rFonts w:eastAsia="Calibri"/>
          <w:szCs w:val="24"/>
          <w:lang w:val="es-MX"/>
        </w:rPr>
      </w:pPr>
      <w:r>
        <w:rPr>
          <w:rFonts w:eastAsia="Calibri"/>
          <w:szCs w:val="24"/>
          <w:lang w:val="es-MX"/>
        </w:rPr>
        <w:t>En la revisión de los planes de estudio de las nueve carreras, solo en cuatro (representa el 44, 4</w:t>
      </w:r>
      <w:r w:rsidR="007D558A">
        <w:rPr>
          <w:rFonts w:eastAsia="Calibri"/>
          <w:szCs w:val="24"/>
          <w:lang w:val="es-MX"/>
        </w:rPr>
        <w:t xml:space="preserve"> </w:t>
      </w:r>
      <w:r>
        <w:rPr>
          <w:rFonts w:eastAsia="Calibri"/>
          <w:szCs w:val="24"/>
          <w:lang w:val="es-MX"/>
        </w:rPr>
        <w:t xml:space="preserve">%) se evidencia de forma clara la atención a los procesos formativos desde la gestión del desarrollo local, lo que impide que el total de estudiantes al cursar las asignaturas logren insertarse a la sociedad y potenciar sus conocimientos en el orden local, así como su seguimiento al proceso de formación profesional, por ello se evalúa de Poco Adecuado. </w:t>
      </w:r>
    </w:p>
    <w:p w14:paraId="50FB6FAF" w14:textId="62B4F2DF" w:rsidR="009F1C04" w:rsidRDefault="009F1C04" w:rsidP="009F1C04">
      <w:pPr>
        <w:widowControl w:val="0"/>
        <w:numPr>
          <w:ilvl w:val="0"/>
          <w:numId w:val="19"/>
        </w:numPr>
        <w:spacing w:after="160"/>
        <w:rPr>
          <w:rFonts w:eastAsia="Calibri"/>
          <w:szCs w:val="24"/>
          <w:lang w:val="es-MX"/>
        </w:rPr>
      </w:pPr>
      <w:r>
        <w:rPr>
          <w:rFonts w:eastAsia="Calibri"/>
          <w:szCs w:val="24"/>
          <w:lang w:val="es-MX"/>
        </w:rPr>
        <w:t>Se constató de Muy Adecuado (85</w:t>
      </w:r>
      <w:r w:rsidR="007D558A">
        <w:rPr>
          <w:rFonts w:eastAsia="Calibri"/>
          <w:szCs w:val="24"/>
          <w:lang w:val="es-MX"/>
        </w:rPr>
        <w:t xml:space="preserve"> </w:t>
      </w:r>
      <w:r>
        <w:rPr>
          <w:rFonts w:eastAsia="Calibri"/>
          <w:szCs w:val="24"/>
          <w:lang w:val="es-MX"/>
        </w:rPr>
        <w:t>%) en las carreras Contabilidad, Agronomía y Gestión para el Desarrollo Sociocultural la realización, por parte del colectivo de profesores universitarios, de la búsqueda de las potencialidades de organizaciones e instituciones de la localidad para desarrollar la formación laboral e investigación, teniendo en cuenta la disciplina, el año y la asignatura que más contribuya a los procesos formativos en relación con el desarrollo local.</w:t>
      </w:r>
    </w:p>
    <w:p w14:paraId="58F8727A" w14:textId="77777777" w:rsidR="009F1C04" w:rsidRDefault="009F1C04" w:rsidP="009F1C04">
      <w:pPr>
        <w:widowControl w:val="0"/>
        <w:numPr>
          <w:ilvl w:val="0"/>
          <w:numId w:val="19"/>
        </w:numPr>
        <w:spacing w:after="160"/>
        <w:rPr>
          <w:rFonts w:eastAsia="Calibri"/>
          <w:szCs w:val="24"/>
          <w:lang w:val="es-MX"/>
        </w:rPr>
      </w:pPr>
      <w:r>
        <w:rPr>
          <w:rFonts w:eastAsia="Calibri"/>
          <w:szCs w:val="24"/>
          <w:lang w:val="es-MX"/>
        </w:rPr>
        <w:t>Se logró en las nueve carreras establecer relaciones de trabajo en red para el diseño de convenios y proyectos, donde se logre la participación de los docentes, estudiantes y egresados en proyectos de instituciones científicas, por lo que se evalúa de Muy Adecuado.</w:t>
      </w:r>
    </w:p>
    <w:p w14:paraId="4E4C8D5C" w14:textId="77777777" w:rsidR="009F1C04" w:rsidRDefault="009F1C04" w:rsidP="009F1C04">
      <w:pPr>
        <w:widowControl w:val="0"/>
        <w:numPr>
          <w:ilvl w:val="0"/>
          <w:numId w:val="19"/>
        </w:numPr>
        <w:spacing w:after="160"/>
        <w:rPr>
          <w:rFonts w:eastAsia="Calibri"/>
          <w:szCs w:val="24"/>
          <w:lang w:val="es-MX"/>
        </w:rPr>
      </w:pPr>
      <w:r>
        <w:rPr>
          <w:rFonts w:eastAsia="Calibri"/>
          <w:szCs w:val="24"/>
          <w:lang w:val="es-MX"/>
        </w:rPr>
        <w:t xml:space="preserve">Se evidenció, mediante el intercambio con profesores universitarios, estudiantes, directivos y agentes locales (se recogieron 95 criterios), las acciones articuladas de gestión de los procesos de </w:t>
      </w:r>
      <w:r>
        <w:rPr>
          <w:rFonts w:eastAsia="Calibri"/>
          <w:szCs w:val="24"/>
          <w:lang w:val="es-MX"/>
        </w:rPr>
        <w:lastRenderedPageBreak/>
        <w:t>organización y planificación de actividades para el desarrollo de la actividad laboral e investigativa, por lo que se evalúa de Bastante Adecuada.</w:t>
      </w:r>
    </w:p>
    <w:p w14:paraId="69D7D07F" w14:textId="77777777" w:rsidR="009F1C04" w:rsidRDefault="009F1C04" w:rsidP="009F1C04">
      <w:pPr>
        <w:widowControl w:val="0"/>
        <w:numPr>
          <w:ilvl w:val="0"/>
          <w:numId w:val="19"/>
        </w:numPr>
        <w:spacing w:after="160"/>
        <w:rPr>
          <w:rFonts w:eastAsia="Calibri"/>
          <w:szCs w:val="24"/>
          <w:lang w:val="es-MX"/>
        </w:rPr>
      </w:pPr>
      <w:r>
        <w:rPr>
          <w:rFonts w:eastAsia="Calibri"/>
          <w:szCs w:val="24"/>
        </w:rPr>
        <w:t xml:space="preserve">Se evidencia en el 48,1% que no siempre se coordina bien que la lógica del proceso junto a las  </w:t>
      </w:r>
      <w:r>
        <w:rPr>
          <w:rFonts w:eastAsia="Calibri"/>
          <w:szCs w:val="24"/>
          <w:lang w:val="es-MX"/>
        </w:rPr>
        <w:t xml:space="preserve">evaluaciones sistemáticas, parciales y finales, alcancen total vínculo con la actividad laboral, lo que afecta la relación teoría-práctica, por lo que se evalúa de Poco Adecuado. </w:t>
      </w:r>
    </w:p>
    <w:p w14:paraId="17667C52" w14:textId="77777777" w:rsidR="009F1C04" w:rsidRDefault="009F1C04" w:rsidP="009F1C04">
      <w:pPr>
        <w:widowControl w:val="0"/>
        <w:numPr>
          <w:ilvl w:val="0"/>
          <w:numId w:val="19"/>
        </w:numPr>
        <w:spacing w:after="160"/>
        <w:rPr>
          <w:rFonts w:eastAsia="Calibri"/>
          <w:szCs w:val="24"/>
          <w:lang w:val="es-MX"/>
        </w:rPr>
      </w:pPr>
      <w:r>
        <w:rPr>
          <w:rFonts w:eastAsia="Calibri"/>
          <w:szCs w:val="24"/>
          <w:lang w:val="es-MX"/>
        </w:rPr>
        <w:t xml:space="preserve">En el periodo 2022 se logró evaluar en 52 graduados la coherencia en la aprobación de los trabajos de cursos, diplomas o modalidad de culminación de estudio, por lo que se evalúa de Muy Adecuado. </w:t>
      </w:r>
    </w:p>
    <w:p w14:paraId="51BC03A5" w14:textId="0FFE114A" w:rsidR="009F1C04" w:rsidRDefault="009F1C04" w:rsidP="009F1C04">
      <w:pPr>
        <w:widowControl w:val="0"/>
        <w:numPr>
          <w:ilvl w:val="0"/>
          <w:numId w:val="19"/>
        </w:numPr>
        <w:spacing w:after="160"/>
        <w:rPr>
          <w:rFonts w:eastAsia="Calibri"/>
          <w:szCs w:val="24"/>
          <w:lang w:val="es-MX"/>
        </w:rPr>
      </w:pPr>
      <w:r>
        <w:rPr>
          <w:rFonts w:eastAsia="Calibri"/>
          <w:szCs w:val="24"/>
          <w:lang w:val="es-MX"/>
        </w:rPr>
        <w:t>Se evalúa de Bastante Adecuada la inserción laboral, el 57,6</w:t>
      </w:r>
      <w:r w:rsidR="00981512">
        <w:rPr>
          <w:rFonts w:eastAsia="Calibri"/>
          <w:szCs w:val="24"/>
          <w:lang w:val="es-MX"/>
        </w:rPr>
        <w:t xml:space="preserve"> </w:t>
      </w:r>
      <w:r>
        <w:rPr>
          <w:rFonts w:eastAsia="Calibri"/>
          <w:szCs w:val="24"/>
          <w:lang w:val="es-MX"/>
        </w:rPr>
        <w:t>% se logró incorporar a las instituciones convenidas para su práctica, lo que favorece la formación continua del egresado desde la gestión interrelacionadas entre el CUM, las entidades laborales, instituciones y gobierno local.</w:t>
      </w:r>
    </w:p>
    <w:p w14:paraId="34E4B113" w14:textId="77777777" w:rsidR="009F1C04" w:rsidRDefault="009F1C04" w:rsidP="009F1C04">
      <w:pPr>
        <w:widowControl w:val="0"/>
        <w:rPr>
          <w:rFonts w:eastAsia="Calibri"/>
          <w:szCs w:val="24"/>
        </w:rPr>
      </w:pPr>
      <w:r>
        <w:rPr>
          <w:rFonts w:eastAsia="Calibri"/>
          <w:szCs w:val="24"/>
          <w:lang w:val="es-MX"/>
        </w:rPr>
        <w:t xml:space="preserve">Lo abordado permite afirmar que se aprecian discretos </w:t>
      </w:r>
      <w:r>
        <w:rPr>
          <w:rFonts w:eastAsia="Calibri"/>
          <w:szCs w:val="24"/>
        </w:rPr>
        <w:t xml:space="preserve">impactos en los procesos formativos, pues a pesar de existir </w:t>
      </w:r>
      <w:r>
        <w:rPr>
          <w:rFonts w:eastAsia="Calibri"/>
          <w:szCs w:val="24"/>
          <w:lang w:val="es-MX"/>
        </w:rPr>
        <w:t xml:space="preserve">logros </w:t>
      </w:r>
      <w:r>
        <w:rPr>
          <w:rFonts w:eastAsia="Calibri"/>
          <w:szCs w:val="24"/>
        </w:rPr>
        <w:t>con la aplicación de los indicadores, aún persisten algunos e</w:t>
      </w:r>
      <w:r>
        <w:rPr>
          <w:rFonts w:eastAsia="Calibri"/>
          <w:szCs w:val="24"/>
          <w:lang w:val="es-MX"/>
        </w:rPr>
        <w:t>valuados de Poco Adecuados</w:t>
      </w:r>
      <w:r>
        <w:rPr>
          <w:rFonts w:eastAsia="Calibri"/>
          <w:szCs w:val="24"/>
        </w:rPr>
        <w:t xml:space="preserve">, por </w:t>
      </w:r>
      <w:r>
        <w:rPr>
          <w:rFonts w:eastAsia="Calibri"/>
          <w:szCs w:val="24"/>
          <w:lang w:val="es-MX"/>
        </w:rPr>
        <w:t xml:space="preserve"> lo  que es necesario continuar perfeccionando la labor para elevar la calidad de los procesos formativos y lograr que el futuro profesional que se forma en el CUM sea consciente de su papel relevante en el desarrollo local municipal</w:t>
      </w:r>
      <w:r>
        <w:rPr>
          <w:rFonts w:eastAsia="Calibri"/>
          <w:szCs w:val="24"/>
        </w:rPr>
        <w:t>.</w:t>
      </w:r>
    </w:p>
    <w:p w14:paraId="446A0177" w14:textId="77777777" w:rsidR="009F1C04" w:rsidRDefault="009F1C04" w:rsidP="009F1C04">
      <w:pPr>
        <w:widowControl w:val="0"/>
        <w:rPr>
          <w:rFonts w:eastAsia="Calibri"/>
          <w:szCs w:val="24"/>
          <w:lang w:val="es-MX"/>
        </w:rPr>
      </w:pPr>
      <w:r>
        <w:rPr>
          <w:rFonts w:eastAsia="Calibri"/>
          <w:szCs w:val="24"/>
        </w:rPr>
        <w:t xml:space="preserve">La adecuada gestión favorece en los estudiantes su capacidad </w:t>
      </w:r>
      <w:r>
        <w:rPr>
          <w:rFonts w:eastAsia="Calibri"/>
          <w:szCs w:val="24"/>
          <w:lang w:val="es-MX"/>
        </w:rPr>
        <w:t>de autogestionar conocimientos, en correspondencia a las exigencias de las habilidades profesionales a alcanzar en su carrera</w:t>
      </w:r>
      <w:r>
        <w:rPr>
          <w:rFonts w:eastAsia="Calibri"/>
          <w:szCs w:val="24"/>
        </w:rPr>
        <w:t>. A</w:t>
      </w:r>
      <w:r>
        <w:rPr>
          <w:rFonts w:eastAsia="Calibri"/>
          <w:szCs w:val="24"/>
          <w:lang w:val="es-MX"/>
        </w:rPr>
        <w:t xml:space="preserve">demás, establece las relaciones de lo adquirido en la docencia y la práctica laboral investigativa, dando sentido y significado a las experiencias acumuladas, por lo que se promueve un aprendizaje significativo y desarrollador en la búsqueda de mejores soluciones para su futuro desempeño profesional. </w:t>
      </w:r>
    </w:p>
    <w:p w14:paraId="31C70AB9" w14:textId="77777777" w:rsidR="009F1C04" w:rsidRDefault="009F1C04" w:rsidP="009F1C04">
      <w:pPr>
        <w:widowControl w:val="0"/>
        <w:rPr>
          <w:rFonts w:eastAsia="Calibri"/>
          <w:szCs w:val="24"/>
        </w:rPr>
      </w:pPr>
      <w:r>
        <w:rPr>
          <w:rFonts w:eastAsia="Calibri"/>
          <w:szCs w:val="24"/>
          <w:lang w:val="es-MX"/>
        </w:rPr>
        <w:t xml:space="preserve">De igual modo, se aprecia un crecimiento en favorecer desde la propia clase encuentro y en las guías de estudio, la armonía entre lo educativo y lo desarrollador, con énfasis en la atención a la equidad, </w:t>
      </w:r>
      <w:r>
        <w:rPr>
          <w:rFonts w:eastAsia="Calibri"/>
          <w:szCs w:val="24"/>
          <w:lang w:val="es-MX"/>
        </w:rPr>
        <w:lastRenderedPageBreak/>
        <w:t xml:space="preserve">pertinencia, eficiencia, eficacia en sus tareas académicas y habilidades profesionales según el modelo de formación. </w:t>
      </w:r>
    </w:p>
    <w:p w14:paraId="3BF3228A" w14:textId="77777777" w:rsidR="009F1C04" w:rsidRDefault="009F1C04" w:rsidP="009F1C04">
      <w:pPr>
        <w:widowControl w:val="0"/>
        <w:rPr>
          <w:rFonts w:eastAsia="Calibri"/>
          <w:szCs w:val="24"/>
        </w:rPr>
      </w:pPr>
      <w:r>
        <w:rPr>
          <w:rFonts w:eastAsia="Calibri"/>
          <w:szCs w:val="24"/>
        </w:rPr>
        <w:t xml:space="preserve">Se considera </w:t>
      </w:r>
      <w:r>
        <w:rPr>
          <w:rFonts w:eastAsia="Calibri"/>
          <w:szCs w:val="24"/>
          <w:lang w:val="es-MX"/>
        </w:rPr>
        <w:t xml:space="preserve">continuar perfeccionando la labor </w:t>
      </w:r>
      <w:r>
        <w:rPr>
          <w:rFonts w:eastAsia="Calibri"/>
          <w:szCs w:val="24"/>
        </w:rPr>
        <w:t xml:space="preserve">educativa en cada espacio donde esté presente la interacción entre el estudiante, el profesor universitario y los agentes locales </w:t>
      </w:r>
      <w:r>
        <w:rPr>
          <w:rFonts w:eastAsia="Calibri"/>
          <w:szCs w:val="24"/>
          <w:lang w:val="es-MX"/>
        </w:rPr>
        <w:t xml:space="preserve">para elevar la calidad de los procesos formativos, </w:t>
      </w:r>
      <w:r>
        <w:rPr>
          <w:rFonts w:eastAsia="Calibri"/>
          <w:szCs w:val="24"/>
        </w:rPr>
        <w:t xml:space="preserve">no solo en el marco universitario, sino con la gestión del desarrollo local. Es necesario ampliar más los horizontes universitarios en la sociedad </w:t>
      </w:r>
      <w:r>
        <w:rPr>
          <w:rFonts w:eastAsia="Calibri"/>
          <w:szCs w:val="24"/>
          <w:lang w:val="es-MX"/>
        </w:rPr>
        <w:t>y lograr que el futuro profesional que se forma en el CUM</w:t>
      </w:r>
      <w:r>
        <w:rPr>
          <w:rFonts w:eastAsia="Calibri"/>
          <w:szCs w:val="24"/>
        </w:rPr>
        <w:t xml:space="preserve"> muestre la capacidad y compromiso de enfrentar cualquier situación que se le presente con soluciones acertadas desde la ciencia y la innovación.</w:t>
      </w:r>
    </w:p>
    <w:p w14:paraId="7980DEF9" w14:textId="77777777" w:rsidR="009F1C04" w:rsidRPr="00065A41" w:rsidRDefault="009F1C04" w:rsidP="009F1C04">
      <w:pPr>
        <w:pStyle w:val="Ttulo1"/>
        <w:rPr>
          <w:rFonts w:eastAsia="Calibri"/>
          <w:lang w:val="es-MX"/>
        </w:rPr>
      </w:pPr>
      <w:r w:rsidRPr="00065A41">
        <w:rPr>
          <w:rFonts w:eastAsia="Calibri"/>
          <w:lang w:val="es-MX"/>
        </w:rPr>
        <w:t>CONCLUSIONES</w:t>
      </w:r>
    </w:p>
    <w:p w14:paraId="5FF6E44D" w14:textId="77777777" w:rsidR="009F1C04" w:rsidRPr="00065A41" w:rsidRDefault="009F1C04" w:rsidP="009F1C04">
      <w:pPr>
        <w:widowControl w:val="0"/>
        <w:rPr>
          <w:rFonts w:eastAsia="Calibri"/>
          <w:szCs w:val="24"/>
          <w:lang w:val="es-MX"/>
        </w:rPr>
      </w:pPr>
      <w:r w:rsidRPr="00065A41">
        <w:rPr>
          <w:rFonts w:eastAsia="Calibri"/>
          <w:szCs w:val="24"/>
          <w:lang w:val="es-MX"/>
        </w:rPr>
        <w:t>El resultado alcanzado con la evaluación de los indicadores permitió demostrar los impactos de los procesos formativos para la gestión del desarrollo local jagüeyense, así como el camino a seguir desde las brechas que quedan y su retroalimentación en la puesta en práctica, como expresión del trabajo sistemático y flexible en el CUM con el resto de las instituciones de la sociedad para elevar la calidad de la formación profesional.</w:t>
      </w:r>
    </w:p>
    <w:p w14:paraId="52B93F23" w14:textId="77777777" w:rsidR="0059372C" w:rsidRDefault="0059372C" w:rsidP="0059372C">
      <w:pPr>
        <w:widowControl w:val="0"/>
        <w:jc w:val="center"/>
        <w:rPr>
          <w:rFonts w:eastAsia="Calibri" w:cs="Times New Roman"/>
          <w:b/>
          <w:sz w:val="28"/>
          <w:szCs w:val="24"/>
          <w:lang w:val="es-MX"/>
        </w:rPr>
      </w:pPr>
      <w:r>
        <w:rPr>
          <w:rFonts w:eastAsia="Calibri" w:cs="Times New Roman"/>
          <w:b/>
          <w:sz w:val="28"/>
          <w:szCs w:val="24"/>
          <w:lang w:val="es-MX"/>
        </w:rPr>
        <w:t>REFERENCIAS BIBLIOGRÁFICAS</w:t>
      </w:r>
    </w:p>
    <w:p w14:paraId="27B7F423" w14:textId="77777777" w:rsidR="0059372C" w:rsidRDefault="0059372C" w:rsidP="0059372C">
      <w:pPr>
        <w:pStyle w:val="Referenciasbibliogrficas"/>
        <w:rPr>
          <w:lang w:val="es-MX"/>
        </w:rPr>
      </w:pPr>
      <w:r>
        <w:rPr>
          <w:lang w:val="es-MX"/>
        </w:rPr>
        <w:t xml:space="preserve">Castanedo, A. (2019). </w:t>
      </w:r>
      <w:r w:rsidRPr="00C07322">
        <w:rPr>
          <w:lang w:val="es-MX"/>
        </w:rPr>
        <w:t>Modelo conceptual descriptivo para ejecutar una eficaz gestión por procesos, con garantía de calidad, en la Universidad del siglo XXI.</w:t>
      </w:r>
      <w:r>
        <w:rPr>
          <w:lang w:val="es-MX"/>
        </w:rPr>
        <w:t xml:space="preserve"> Revista Cubana de Educación Superior, 38(2). </w:t>
      </w:r>
      <w:hyperlink r:id="rId13" w:history="1">
        <w:r>
          <w:rPr>
            <w:rStyle w:val="Hipervnculo"/>
            <w:rFonts w:eastAsia="Calibri"/>
            <w:szCs w:val="24"/>
            <w:lang w:val="es-MX"/>
          </w:rPr>
          <w:t>http://www.rces.uh.cu/index.php/RCES/article/view/287/328</w:t>
        </w:r>
      </w:hyperlink>
    </w:p>
    <w:p w14:paraId="571DB50F" w14:textId="77777777" w:rsidR="0059372C" w:rsidRDefault="0059372C" w:rsidP="0059372C">
      <w:pPr>
        <w:pStyle w:val="Referenciasbibliogrficas"/>
        <w:rPr>
          <w:lang w:val="es-MX"/>
        </w:rPr>
      </w:pPr>
      <w:r>
        <w:rPr>
          <w:lang w:val="es-MX"/>
        </w:rPr>
        <w:t xml:space="preserve">CEPAL. (2017). Agenda 2030 y los Objetivos de Desarrollo Sostenible. Una oportunidad para América Latina y el Caribe. Comisión Económica para América Latina. </w:t>
      </w:r>
      <w:hyperlink r:id="rId14" w:history="1">
        <w:r>
          <w:rPr>
            <w:rStyle w:val="Hipervnculo"/>
            <w:rFonts w:eastAsia="Calibri"/>
            <w:szCs w:val="24"/>
            <w:lang w:val="es-MX"/>
          </w:rPr>
          <w:t>https://www.cepal.org/es/publicaciones/40155</w:t>
        </w:r>
      </w:hyperlink>
    </w:p>
    <w:p w14:paraId="29B7F231" w14:textId="77777777" w:rsidR="0059372C" w:rsidRPr="00B61CF8" w:rsidRDefault="0059372C" w:rsidP="0059372C">
      <w:pPr>
        <w:pStyle w:val="Referenciasbibliogrficas"/>
        <w:rPr>
          <w:lang w:val="pt-BR"/>
        </w:rPr>
      </w:pPr>
      <w:r>
        <w:rPr>
          <w:lang w:val="es-MX"/>
        </w:rPr>
        <w:t xml:space="preserve">Cruzata, R., y Álvarez, J. C. (2019). </w:t>
      </w:r>
      <w:r w:rsidRPr="00AD5E27">
        <w:rPr>
          <w:lang w:val="es-MX"/>
        </w:rPr>
        <w:t>Indicadores para la autoevaluación de la calidad del proceso de extensión universitaria.</w:t>
      </w:r>
      <w:r>
        <w:rPr>
          <w:lang w:val="es-MX"/>
        </w:rPr>
        <w:t xml:space="preserve"> </w:t>
      </w:r>
      <w:r w:rsidRPr="00B61CF8">
        <w:rPr>
          <w:lang w:val="pt-BR"/>
        </w:rPr>
        <w:t xml:space="preserve">Revista Humanidades Médicas.19(3),504-521. </w:t>
      </w:r>
      <w:hyperlink r:id="rId15" w:history="1">
        <w:r w:rsidRPr="00B61CF8">
          <w:rPr>
            <w:rStyle w:val="Hipervnculo"/>
            <w:rFonts w:eastAsia="Calibri"/>
            <w:szCs w:val="24"/>
            <w:lang w:val="pt-BR"/>
          </w:rPr>
          <w:t>http://humanidadesmedicas.sld.cu/index.php/hm/article/view/1441</w:t>
        </w:r>
      </w:hyperlink>
    </w:p>
    <w:p w14:paraId="10D3114E" w14:textId="77777777" w:rsidR="0059372C" w:rsidRDefault="0059372C" w:rsidP="0059372C">
      <w:pPr>
        <w:pStyle w:val="Referenciasbibliogrficas"/>
        <w:rPr>
          <w:rStyle w:val="Hipervnculo"/>
          <w:rFonts w:eastAsia="Calibri"/>
          <w:szCs w:val="24"/>
          <w:lang w:val="es-MX"/>
        </w:rPr>
      </w:pPr>
      <w:r>
        <w:rPr>
          <w:lang w:val="es-MX"/>
        </w:rPr>
        <w:lastRenderedPageBreak/>
        <w:t xml:space="preserve">Espinosa, Y., y Ramón, C. (2016). </w:t>
      </w:r>
      <w:r w:rsidRPr="00AD5E27">
        <w:rPr>
          <w:lang w:val="en-US"/>
        </w:rPr>
        <w:t>Business Process Modeling: Evolution of the Concept in a University Context.</w:t>
      </w:r>
      <w:r w:rsidRPr="0000405E">
        <w:rPr>
          <w:lang w:val="en-US"/>
        </w:rPr>
        <w:t xml:space="preserve"> </w:t>
      </w:r>
      <w:r>
        <w:rPr>
          <w:lang w:val="es-MX"/>
        </w:rPr>
        <w:t xml:space="preserve">Computación y Sistemas, 17(1), 79–93. </w:t>
      </w:r>
      <w:hyperlink r:id="rId16" w:history="1">
        <w:r>
          <w:rPr>
            <w:rStyle w:val="Hipervnculo"/>
            <w:rFonts w:eastAsia="Calibri"/>
            <w:szCs w:val="24"/>
            <w:lang w:val="es-MX"/>
          </w:rPr>
          <w:t>https://redib.org/Record/oai_articulo408635-business-process-modelingevolution-concept-a-university-context</w:t>
        </w:r>
      </w:hyperlink>
    </w:p>
    <w:p w14:paraId="0C4B861A" w14:textId="21A87398" w:rsidR="0059372C" w:rsidRDefault="0059372C" w:rsidP="0059372C">
      <w:pPr>
        <w:pStyle w:val="Referenciasbibliogrficas"/>
        <w:rPr>
          <w:rStyle w:val="Hipervnculo"/>
          <w:rFonts w:eastAsia="Calibri"/>
          <w:szCs w:val="24"/>
          <w:lang w:val="es-MX"/>
        </w:rPr>
      </w:pPr>
      <w:r w:rsidRPr="000D61BA">
        <w:rPr>
          <w:rStyle w:val="Hipervnculo"/>
          <w:rFonts w:eastAsia="Calibri"/>
          <w:color w:val="auto"/>
          <w:szCs w:val="24"/>
          <w:u w:val="none"/>
          <w:lang w:val="es-MX"/>
        </w:rPr>
        <w:t xml:space="preserve">Fernández Díaz, A. (2023). </w:t>
      </w:r>
      <w:r w:rsidRPr="000D61BA">
        <w:rPr>
          <w:rStyle w:val="Hipervnculo"/>
          <w:rFonts w:eastAsia="Calibri"/>
          <w:i/>
          <w:color w:val="auto"/>
          <w:szCs w:val="24"/>
          <w:u w:val="none"/>
          <w:lang w:val="es-MX"/>
        </w:rPr>
        <w:t>Participación educativa en el desarrollo local</w:t>
      </w:r>
      <w:r w:rsidRPr="000D61BA">
        <w:rPr>
          <w:rStyle w:val="Hipervnculo"/>
          <w:rFonts w:eastAsia="Calibri"/>
          <w:color w:val="auto"/>
          <w:szCs w:val="24"/>
          <w:u w:val="none"/>
          <w:lang w:val="es-MX"/>
        </w:rPr>
        <w:t>. En Revista Horizonte Pedagógico, Vol. 12, Núm. 2.</w:t>
      </w:r>
      <w:r w:rsidRPr="000D61BA">
        <w:rPr>
          <w:rStyle w:val="Hipervnculo"/>
          <w:rFonts w:eastAsia="Calibri"/>
          <w:color w:val="auto"/>
          <w:szCs w:val="24"/>
          <w:lang w:val="es-MX"/>
        </w:rPr>
        <w:t xml:space="preserve"> </w:t>
      </w:r>
      <w:r w:rsidR="000D61BA" w:rsidRPr="000D61BA">
        <w:rPr>
          <w:rStyle w:val="Hipervnculo"/>
          <w:rFonts w:eastAsia="Calibri"/>
          <w:color w:val="auto"/>
          <w:szCs w:val="24"/>
          <w:lang w:val="es-MX"/>
        </w:rPr>
        <w:t xml:space="preserve">   </w:t>
      </w:r>
      <w:hyperlink r:id="rId17" w:history="1">
        <w:r w:rsidR="000D61BA" w:rsidRPr="00DE66F8">
          <w:rPr>
            <w:rStyle w:val="Hipervnculo"/>
            <w:rFonts w:eastAsia="Calibri"/>
            <w:szCs w:val="24"/>
            <w:lang w:val="es-MX"/>
          </w:rPr>
          <w:t>http://www.horizontepedagogico.rimed.cu/index.php/hop/article/view/297</w:t>
        </w:r>
      </w:hyperlink>
      <w:r>
        <w:rPr>
          <w:rStyle w:val="Hipervnculo"/>
          <w:rFonts w:eastAsia="Calibri"/>
          <w:szCs w:val="24"/>
          <w:lang w:val="es-MX"/>
        </w:rPr>
        <w:t>.</w:t>
      </w:r>
    </w:p>
    <w:p w14:paraId="48643FBA" w14:textId="6F12C7C9" w:rsidR="0059372C" w:rsidRDefault="0059372C" w:rsidP="0059372C">
      <w:pPr>
        <w:pStyle w:val="Referenciasbibliogrficas"/>
      </w:pPr>
      <w:r w:rsidRPr="000D61BA">
        <w:rPr>
          <w:rStyle w:val="Hipervnculo"/>
          <w:rFonts w:eastAsia="Calibri"/>
          <w:color w:val="auto"/>
          <w:szCs w:val="24"/>
          <w:u w:val="none"/>
          <w:lang w:val="es-MX"/>
        </w:rPr>
        <w:t>GUCID</w:t>
      </w:r>
      <w:r w:rsidR="000D61BA">
        <w:rPr>
          <w:rStyle w:val="Hipervnculo"/>
          <w:rFonts w:eastAsia="Calibri"/>
          <w:color w:val="auto"/>
          <w:szCs w:val="24"/>
          <w:u w:val="none"/>
          <w:lang w:val="es-MX"/>
        </w:rPr>
        <w:t>.</w:t>
      </w:r>
      <w:r w:rsidRPr="000D61BA">
        <w:rPr>
          <w:rStyle w:val="Hipervnculo"/>
          <w:rFonts w:eastAsia="Calibri"/>
          <w:color w:val="auto"/>
          <w:szCs w:val="24"/>
          <w:u w:val="none"/>
          <w:lang w:val="es-MX"/>
        </w:rPr>
        <w:t xml:space="preserve"> (2020).</w:t>
      </w:r>
      <w:r w:rsidRPr="000D61BA">
        <w:rPr>
          <w:rStyle w:val="Hipervnculo"/>
          <w:rFonts w:eastAsia="Calibri"/>
          <w:color w:val="auto"/>
          <w:szCs w:val="24"/>
          <w:lang w:val="es-MX"/>
        </w:rPr>
        <w:t xml:space="preserve"> </w:t>
      </w:r>
      <w:r w:rsidRPr="00E15502">
        <w:rPr>
          <w:rFonts w:cs="Times New Roman"/>
        </w:rPr>
        <w:t xml:space="preserve">Intervención realizada por el Dr. C Jorge Núñez Jover en el Foro ¨Universidad y Desarrollo Local Sostenible¨ en el marco del 12do Congreso Internacional de Educación Superior Universidad 2020, p. 10-13. Boletín digital GUCID. Año </w:t>
      </w:r>
      <w:r w:rsidRPr="00E15502">
        <w:rPr>
          <w:rFonts w:cs="Times New Roman"/>
          <w:bCs/>
        </w:rPr>
        <w:t>IX. No.75. enero – marzo, 2020.</w:t>
      </w:r>
      <w:r>
        <w:rPr>
          <w:b/>
          <w:bCs/>
        </w:rPr>
        <w:t xml:space="preserve"> </w:t>
      </w:r>
      <w:r>
        <w:rPr>
          <w:sz w:val="23"/>
          <w:szCs w:val="23"/>
        </w:rPr>
        <w:t xml:space="preserve"> </w:t>
      </w:r>
    </w:p>
    <w:p w14:paraId="48EDA9D2" w14:textId="28A9CBF2" w:rsidR="0059372C" w:rsidRDefault="0059372C" w:rsidP="0059372C">
      <w:pPr>
        <w:pStyle w:val="Referenciasbibliogrficas"/>
        <w:rPr>
          <w:lang w:val="es-MX"/>
        </w:rPr>
      </w:pPr>
      <w:r>
        <w:rPr>
          <w:lang w:val="es-MX"/>
        </w:rPr>
        <w:t xml:space="preserve">Ponjuán,G., Mena, M. </w:t>
      </w:r>
      <w:r w:rsidRPr="003F02CD">
        <w:rPr>
          <w:rFonts w:eastAsia="Times New Roman" w:cs="Times New Roman"/>
          <w:lang w:eastAsia="es-ES"/>
        </w:rPr>
        <w:t>&amp;</w:t>
      </w:r>
      <w:r>
        <w:rPr>
          <w:lang w:val="es-MX"/>
        </w:rPr>
        <w:t xml:space="preserve"> Rodríguez Y.(2014). Fundamento de la gestión documental de información y del conocimiento. Editorial Félix Valera, p. 119</w:t>
      </w:r>
    </w:p>
    <w:p w14:paraId="6098C2AA" w14:textId="51619BFB" w:rsidR="0059372C" w:rsidRPr="00CC5DB2" w:rsidRDefault="0059372C" w:rsidP="0059372C">
      <w:pPr>
        <w:pStyle w:val="Referenciasbibliogrficas"/>
      </w:pPr>
      <w:r w:rsidRPr="00CC5DB2">
        <w:rPr>
          <w:rStyle w:val="nfasis"/>
          <w:rFonts w:cs="Times New Roman"/>
          <w:szCs w:val="24"/>
        </w:rPr>
        <w:t>Urgellés Cardoza, R. y Rodríguez Monjes</w:t>
      </w:r>
      <w:r>
        <w:rPr>
          <w:rStyle w:val="nfasis"/>
          <w:rFonts w:cs="Times New Roman"/>
          <w:szCs w:val="24"/>
        </w:rPr>
        <w:t>,</w:t>
      </w:r>
      <w:r w:rsidRPr="00CC5DB2">
        <w:rPr>
          <w:rStyle w:val="nfasis"/>
          <w:rFonts w:cs="Times New Roman"/>
          <w:szCs w:val="24"/>
        </w:rPr>
        <w:t xml:space="preserve"> Nordis (2017): “Gestión del conocimiento para el desarrollo local en Moa: vinculo Universidad -Territorio”</w:t>
      </w:r>
      <w:r>
        <w:rPr>
          <w:rStyle w:val="nfasis"/>
          <w:rFonts w:cs="Times New Roman"/>
          <w:szCs w:val="24"/>
        </w:rPr>
        <w:t xml:space="preserve">. En </w:t>
      </w:r>
      <w:r w:rsidRPr="00CC5DB2">
        <w:rPr>
          <w:rStyle w:val="nfasis"/>
          <w:rFonts w:cs="Times New Roman"/>
          <w:szCs w:val="24"/>
        </w:rPr>
        <w:t>Revista Caribeña de Ciencias S</w:t>
      </w:r>
      <w:r>
        <w:rPr>
          <w:rStyle w:val="nfasis"/>
          <w:rFonts w:cs="Times New Roman"/>
          <w:szCs w:val="24"/>
        </w:rPr>
        <w:t>ociales (agosto 2017).</w:t>
      </w:r>
      <w:r w:rsidRPr="00CC5DB2">
        <w:rPr>
          <w:rStyle w:val="nfasis"/>
          <w:rFonts w:cs="Times New Roman"/>
          <w:szCs w:val="24"/>
        </w:rPr>
        <w:t xml:space="preserve"> </w:t>
      </w:r>
      <w:hyperlink r:id="rId18" w:history="1">
        <w:r w:rsidRPr="00F34BF8">
          <w:rPr>
            <w:rStyle w:val="Hipervnculo"/>
            <w:rFonts w:cs="Times New Roman"/>
            <w:szCs w:val="24"/>
          </w:rPr>
          <w:t>https://www.eumed.net/rev/caribe/2017/08/desarrollo-local.html</w:t>
        </w:r>
      </w:hyperlink>
      <w:r w:rsidRPr="00CC5DB2">
        <w:rPr>
          <w:rStyle w:val="nfasis"/>
          <w:rFonts w:cs="Times New Roman"/>
          <w:szCs w:val="24"/>
        </w:rPr>
        <w:t xml:space="preserve"> </w:t>
      </w:r>
    </w:p>
    <w:p w14:paraId="33291600" w14:textId="77777777" w:rsidR="00AE56BA" w:rsidRDefault="00AE56BA" w:rsidP="00AE56BA">
      <w:pPr>
        <w:rPr>
          <w:rFonts w:eastAsia="Times New Roman" w:cs="Times New Roman"/>
          <w:b/>
          <w:szCs w:val="24"/>
          <w:lang w:eastAsia="es-ES"/>
        </w:rPr>
      </w:pPr>
    </w:p>
    <w:p w14:paraId="40F5CBA2" w14:textId="77777777" w:rsidR="00AE56BA" w:rsidRDefault="00AE56BA" w:rsidP="00AE56BA">
      <w:pPr>
        <w:rPr>
          <w:rFonts w:eastAsia="Times New Roman" w:cs="Times New Roman"/>
          <w:b/>
          <w:szCs w:val="24"/>
          <w:lang w:eastAsia="es-ES"/>
        </w:rPr>
      </w:pPr>
    </w:p>
    <w:p w14:paraId="686D7CBE" w14:textId="4A3DD3DE" w:rsidR="00AE56BA" w:rsidRDefault="00AE56BA" w:rsidP="00AE56BA">
      <w:pPr>
        <w:rPr>
          <w:rFonts w:eastAsia="Times New Roman" w:cs="Times New Roman"/>
          <w:b/>
          <w:szCs w:val="24"/>
          <w:lang w:eastAsia="es-ES"/>
        </w:rPr>
      </w:pPr>
      <w:r>
        <w:rPr>
          <w:rFonts w:eastAsia="Times New Roman" w:cs="Times New Roman"/>
          <w:b/>
          <w:szCs w:val="24"/>
          <w:lang w:eastAsia="es-ES"/>
        </w:rPr>
        <w:t xml:space="preserve">Declaración de conflictos y contribución de los autores </w:t>
      </w:r>
    </w:p>
    <w:p w14:paraId="09EA65F3" w14:textId="77777777" w:rsidR="0059372C" w:rsidRDefault="0059372C" w:rsidP="0059372C">
      <w:pPr>
        <w:rPr>
          <w:rFonts w:eastAsia="SimSun" w:cs="Times New Roman"/>
          <w:color w:val="000000"/>
          <w:szCs w:val="24"/>
          <w:lang w:eastAsia="zh-CN" w:bidi="ar"/>
        </w:rPr>
      </w:pPr>
      <w:r w:rsidRPr="0000405E">
        <w:rPr>
          <w:rFonts w:eastAsia="SimSun" w:cs="Times New Roman"/>
          <w:color w:val="000000"/>
          <w:szCs w:val="24"/>
          <w:lang w:eastAsia="zh-CN" w:bidi="ar"/>
        </w:rPr>
        <w:t>L</w:t>
      </w:r>
      <w:r>
        <w:rPr>
          <w:rFonts w:eastAsia="SimSun" w:cs="Times New Roman"/>
          <w:color w:val="000000"/>
          <w:szCs w:val="24"/>
          <w:lang w:eastAsia="zh-CN" w:bidi="ar"/>
        </w:rPr>
        <w:t>o</w:t>
      </w:r>
      <w:r w:rsidRPr="0000405E">
        <w:rPr>
          <w:rFonts w:eastAsia="SimSun" w:cs="Times New Roman"/>
          <w:color w:val="000000"/>
          <w:szCs w:val="24"/>
          <w:lang w:eastAsia="zh-CN" w:bidi="ar"/>
        </w:rPr>
        <w:t>s autor</w:t>
      </w:r>
      <w:r>
        <w:rPr>
          <w:rFonts w:eastAsia="SimSun" w:cs="Times New Roman"/>
          <w:color w:val="000000"/>
          <w:szCs w:val="24"/>
          <w:lang w:eastAsia="zh-CN" w:bidi="ar"/>
        </w:rPr>
        <w:t>e</w:t>
      </w:r>
      <w:r w:rsidRPr="0000405E">
        <w:rPr>
          <w:rFonts w:eastAsia="SimSun" w:cs="Times New Roman"/>
          <w:color w:val="000000"/>
          <w:szCs w:val="24"/>
          <w:lang w:eastAsia="zh-CN" w:bidi="ar"/>
        </w:rPr>
        <w:t xml:space="preserve">s declaramos que este </w:t>
      </w:r>
      <w:r>
        <w:rPr>
          <w:rFonts w:eastAsia="SimSun" w:cs="Times New Roman"/>
          <w:color w:val="000000"/>
          <w:szCs w:val="24"/>
          <w:lang w:eastAsia="zh-CN" w:bidi="ar"/>
        </w:rPr>
        <w:t>artículo</w:t>
      </w:r>
      <w:r w:rsidRPr="0000405E">
        <w:rPr>
          <w:rFonts w:eastAsia="SimSun" w:cs="Times New Roman"/>
          <w:color w:val="000000"/>
          <w:szCs w:val="24"/>
          <w:lang w:eastAsia="zh-CN" w:bidi="ar"/>
        </w:rPr>
        <w:t xml:space="preserve"> es original y no se ha enviado a otra revista.</w:t>
      </w:r>
      <w:r>
        <w:rPr>
          <w:rFonts w:eastAsia="SimSun" w:cs="Times New Roman"/>
          <w:color w:val="000000"/>
          <w:szCs w:val="24"/>
          <w:lang w:eastAsia="zh-CN" w:bidi="ar"/>
        </w:rPr>
        <w:t xml:space="preserve"> </w:t>
      </w:r>
      <w:r w:rsidRPr="0000405E">
        <w:rPr>
          <w:rFonts w:eastAsia="SimSun" w:cs="Times New Roman"/>
          <w:color w:val="000000"/>
          <w:szCs w:val="24"/>
          <w:lang w:eastAsia="zh-CN" w:bidi="ar"/>
        </w:rPr>
        <w:t>Las autor</w:t>
      </w:r>
      <w:r>
        <w:rPr>
          <w:rFonts w:eastAsia="SimSun" w:cs="Times New Roman"/>
          <w:color w:val="000000"/>
          <w:szCs w:val="24"/>
          <w:lang w:eastAsia="zh-CN" w:bidi="ar"/>
        </w:rPr>
        <w:t>e</w:t>
      </w:r>
      <w:r w:rsidRPr="0000405E">
        <w:rPr>
          <w:rFonts w:eastAsia="SimSun" w:cs="Times New Roman"/>
          <w:color w:val="000000"/>
          <w:szCs w:val="24"/>
          <w:lang w:eastAsia="zh-CN" w:bidi="ar"/>
        </w:rPr>
        <w:t>s somos responsables del contenido recogido en el artículo y en él no existen</w:t>
      </w:r>
      <w:r>
        <w:rPr>
          <w:rFonts w:eastAsia="SimSun" w:cs="Times New Roman"/>
          <w:color w:val="000000"/>
          <w:szCs w:val="24"/>
          <w:lang w:eastAsia="zh-CN" w:bidi="ar"/>
        </w:rPr>
        <w:t xml:space="preserve"> </w:t>
      </w:r>
      <w:r w:rsidRPr="0000405E">
        <w:rPr>
          <w:rFonts w:eastAsia="SimSun" w:cs="Times New Roman"/>
          <w:color w:val="000000"/>
          <w:szCs w:val="24"/>
          <w:lang w:eastAsia="zh-CN" w:bidi="ar"/>
        </w:rPr>
        <w:t>plagios, conflictos de interés ni éticos.</w:t>
      </w:r>
    </w:p>
    <w:p w14:paraId="0055D67A" w14:textId="77777777" w:rsidR="0059372C" w:rsidRPr="00CF2D11" w:rsidRDefault="0059372C" w:rsidP="0059372C">
      <w:pPr>
        <w:rPr>
          <w:rFonts w:cs="Times New Roman"/>
          <w:b/>
          <w:szCs w:val="24"/>
        </w:rPr>
      </w:pPr>
      <w:r w:rsidRPr="00CF2D11">
        <w:rPr>
          <w:rFonts w:cs="Times New Roman"/>
          <w:b/>
          <w:szCs w:val="24"/>
        </w:rPr>
        <w:t>Contribución de los autores</w:t>
      </w:r>
    </w:p>
    <w:p w14:paraId="7811A676" w14:textId="77777777" w:rsidR="0059372C" w:rsidRPr="00CF2D11" w:rsidRDefault="0059372C" w:rsidP="0059372C">
      <w:pPr>
        <w:rPr>
          <w:rFonts w:cs="Times New Roman"/>
          <w:szCs w:val="24"/>
        </w:rPr>
      </w:pPr>
      <w:r w:rsidRPr="004C487A">
        <w:rPr>
          <w:bCs/>
          <w:szCs w:val="24"/>
        </w:rPr>
        <w:t>Diosemi Sardiñas Casañas</w:t>
      </w:r>
      <w:r w:rsidRPr="004C487A">
        <w:rPr>
          <w:rFonts w:cs="Times New Roman"/>
          <w:bCs/>
          <w:szCs w:val="24"/>
        </w:rPr>
        <w:t>.</w:t>
      </w:r>
      <w:r>
        <w:rPr>
          <w:rFonts w:cs="Times New Roman"/>
          <w:szCs w:val="24"/>
        </w:rPr>
        <w:t xml:space="preserve"> C</w:t>
      </w:r>
      <w:r w:rsidRPr="00CF2D11">
        <w:rPr>
          <w:rFonts w:cs="Times New Roman"/>
          <w:szCs w:val="24"/>
        </w:rPr>
        <w:t>oncibió la idea, realizó la búsqueda bibliográfica, analizó de manera crítica los referentes, organizó los indicadores emanados de la teoría y la práctica, realizó la primera versión de los instrumentos y su aplicación, así como el análisis de los resultados</w:t>
      </w:r>
      <w:r>
        <w:rPr>
          <w:rFonts w:cs="Times New Roman"/>
          <w:szCs w:val="24"/>
        </w:rPr>
        <w:t>.</w:t>
      </w:r>
    </w:p>
    <w:p w14:paraId="582BFA26" w14:textId="77777777" w:rsidR="0059372C" w:rsidRPr="00CF2D11" w:rsidRDefault="0059372C" w:rsidP="0059372C">
      <w:pPr>
        <w:rPr>
          <w:rFonts w:cs="Times New Roman"/>
          <w:szCs w:val="24"/>
        </w:rPr>
      </w:pPr>
      <w:r w:rsidRPr="004C487A">
        <w:rPr>
          <w:rFonts w:cs="Times New Roman"/>
          <w:bCs/>
          <w:szCs w:val="24"/>
        </w:rPr>
        <w:lastRenderedPageBreak/>
        <w:t>Leyda Finalé de la Cruz.</w:t>
      </w:r>
      <w:r w:rsidRPr="00CF2D11">
        <w:rPr>
          <w:rFonts w:cs="Times New Roman"/>
          <w:szCs w:val="24"/>
        </w:rPr>
        <w:t xml:space="preserve"> Orientó la revisión bibliográfica de los referentes teóricos, en particular de la </w:t>
      </w:r>
      <w:r>
        <w:rPr>
          <w:rFonts w:cs="Times New Roman"/>
          <w:szCs w:val="24"/>
        </w:rPr>
        <w:t xml:space="preserve">gestión para el desarrollo local, </w:t>
      </w:r>
      <w:r w:rsidRPr="00CF2D11">
        <w:rPr>
          <w:rFonts w:cs="Times New Roman"/>
          <w:szCs w:val="24"/>
        </w:rPr>
        <w:t xml:space="preserve">participó en la </w:t>
      </w:r>
      <w:r>
        <w:rPr>
          <w:rFonts w:cs="Times New Roman"/>
          <w:szCs w:val="24"/>
        </w:rPr>
        <w:t xml:space="preserve">elaboración y </w:t>
      </w:r>
      <w:r w:rsidRPr="00CF2D11">
        <w:rPr>
          <w:rFonts w:cs="Times New Roman"/>
          <w:szCs w:val="24"/>
        </w:rPr>
        <w:t xml:space="preserve">discusión de los indicadores, revisión de las fuentes consultadas y la elaboración final del artículo. </w:t>
      </w:r>
    </w:p>
    <w:p w14:paraId="2A2860A4" w14:textId="77777777" w:rsidR="0059372C" w:rsidRPr="0000405E" w:rsidRDefault="0059372C" w:rsidP="0059372C">
      <w:pPr>
        <w:rPr>
          <w:rFonts w:eastAsia="SimSun" w:cs="Times New Roman"/>
          <w:color w:val="000000"/>
          <w:szCs w:val="24"/>
          <w:lang w:eastAsia="es-ES" w:bidi="ar"/>
        </w:rPr>
      </w:pPr>
      <w:r w:rsidRPr="004C487A">
        <w:rPr>
          <w:rFonts w:cs="Times New Roman"/>
          <w:bCs/>
          <w:szCs w:val="24"/>
        </w:rPr>
        <w:t>Edgar Borot Peraza.</w:t>
      </w:r>
      <w:r w:rsidRPr="00CF2D11">
        <w:rPr>
          <w:rFonts w:cs="Times New Roman"/>
          <w:szCs w:val="24"/>
        </w:rPr>
        <w:t xml:space="preserve"> Orientó la pertinencia de las fuentes bibliográficas de los referentes teóricos, participó en la elaboración y discusión de los indicadores</w:t>
      </w:r>
      <w:r>
        <w:rPr>
          <w:rFonts w:cs="Times New Roman"/>
          <w:szCs w:val="24"/>
        </w:rPr>
        <w:t>, l</w:t>
      </w:r>
      <w:r w:rsidRPr="00CF2D11">
        <w:rPr>
          <w:rFonts w:cs="Times New Roman"/>
          <w:szCs w:val="24"/>
        </w:rPr>
        <w:t>a redacción de los resultados y la elaboración final del artículo.</w:t>
      </w:r>
      <w:r w:rsidRPr="0047601C">
        <w:rPr>
          <w:rFonts w:ascii="Arial" w:hAnsi="Arial" w:cs="Arial"/>
          <w:szCs w:val="24"/>
        </w:rPr>
        <w:t xml:space="preserve"> </w:t>
      </w:r>
    </w:p>
    <w:p w14:paraId="7C4FB23B" w14:textId="77777777" w:rsidR="00860752" w:rsidRPr="009F1C04" w:rsidRDefault="00860752" w:rsidP="00DA2434">
      <w:pPr>
        <w:spacing w:before="120" w:after="120"/>
        <w:rPr>
          <w:rFonts w:cs="Times New Roman"/>
          <w:szCs w:val="24"/>
        </w:rPr>
      </w:pPr>
      <w:bookmarkStart w:id="0" w:name="_GoBack"/>
      <w:bookmarkEnd w:id="0"/>
    </w:p>
    <w:sectPr w:rsidR="00860752" w:rsidRPr="009F1C04" w:rsidSect="009407AF">
      <w:headerReference w:type="default" r:id="rId19"/>
      <w:footerReference w:type="default" r:id="rId20"/>
      <w:pgSz w:w="12240" w:h="15840"/>
      <w:pgMar w:top="1701" w:right="1134" w:bottom="1701" w:left="1134" w:header="811" w:footer="454" w:gutter="0"/>
      <w:pgNumType w:start="17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337D2" w14:textId="77777777" w:rsidR="0030695B" w:rsidRDefault="0030695B" w:rsidP="00531D56">
      <w:pPr>
        <w:spacing w:line="240" w:lineRule="auto"/>
      </w:pPr>
      <w:r>
        <w:separator/>
      </w:r>
    </w:p>
  </w:endnote>
  <w:endnote w:type="continuationSeparator" w:id="0">
    <w:p w14:paraId="3B9F0A86" w14:textId="77777777" w:rsidR="0030695B" w:rsidRDefault="0030695B" w:rsidP="00531D56">
      <w:pPr>
        <w:spacing w:line="240" w:lineRule="auto"/>
      </w:pPr>
      <w:r>
        <w:continuationSeparator/>
      </w:r>
    </w:p>
  </w:endnote>
  <w:endnote w:type="continuationNotice" w:id="1">
    <w:p w14:paraId="0698736D" w14:textId="77777777" w:rsidR="0030695B" w:rsidRDefault="003069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7C1741">
          <w:pPr>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4F20E35D" w14:textId="77777777" w:rsidR="007C1741" w:rsidRPr="00424BC2" w:rsidRDefault="007C1741" w:rsidP="007C1741">
          <w:pPr>
            <w:rPr>
              <w:b/>
              <w:color w:val="FFFFFF" w:themeColor="background1"/>
            </w:rPr>
          </w:pPr>
          <w:r w:rsidRPr="007C1741">
            <w:rPr>
              <w:color w:val="FFFFFF" w:themeColor="background1"/>
              <w:sz w:val="20"/>
            </w:rPr>
            <w:t>Reconocimiento-NoComercial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7C09A001"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407AF">
      <w:rPr>
        <w:caps/>
        <w:noProof/>
        <w:color w:val="5B9BD5" w:themeColor="accent1"/>
      </w:rPr>
      <w:t>181</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97A2B" w14:textId="77777777" w:rsidR="0030695B" w:rsidRDefault="0030695B" w:rsidP="00531D56">
      <w:pPr>
        <w:spacing w:line="240" w:lineRule="auto"/>
      </w:pPr>
      <w:r>
        <w:separator/>
      </w:r>
    </w:p>
  </w:footnote>
  <w:footnote w:type="continuationSeparator" w:id="0">
    <w:p w14:paraId="29CB708A" w14:textId="77777777" w:rsidR="0030695B" w:rsidRDefault="0030695B" w:rsidP="00531D56">
      <w:pPr>
        <w:spacing w:line="240" w:lineRule="auto"/>
      </w:pPr>
      <w:r>
        <w:continuationSeparator/>
      </w:r>
    </w:p>
  </w:footnote>
  <w:footnote w:type="continuationNotice" w:id="1">
    <w:p w14:paraId="02A15F76" w14:textId="77777777" w:rsidR="0030695B" w:rsidRDefault="0030695B">
      <w:pPr>
        <w:spacing w:line="240" w:lineRule="auto"/>
      </w:pPr>
    </w:p>
  </w:footnote>
  <w:footnote w:id="2">
    <w:p w14:paraId="4D9E7ABE" w14:textId="77777777" w:rsidR="0080720D" w:rsidRPr="00EA4AC8" w:rsidRDefault="0080720D" w:rsidP="0080720D">
      <w:pPr>
        <w:pStyle w:val="Textonotapie"/>
        <w:rPr>
          <w:rFonts w:ascii="Times New Roman" w:hAnsi="Times New Roman" w:cs="Times New Roman"/>
          <w:lang w:val="es-ES_tradnl"/>
        </w:rPr>
      </w:pPr>
      <w:r w:rsidRPr="00EA4AC8">
        <w:rPr>
          <w:rStyle w:val="Refdenotaalpie"/>
          <w:rFonts w:ascii="Times New Roman" w:hAnsi="Times New Roman" w:cs="Times New Roman"/>
        </w:rPr>
        <w:footnoteRef/>
      </w:r>
      <w:r w:rsidRPr="00EA4AC8">
        <w:rPr>
          <w:rFonts w:ascii="Times New Roman" w:hAnsi="Times New Roman" w:cs="Times New Roman"/>
          <w:lang w:val="es-ES_tradnl"/>
        </w:rPr>
        <w:t xml:space="preserve"> Diosemi Sardiñas Casañas. Licenciada en Educación, especialidad Educación Preescolar. M. Sc., mención Educación Preescolar, Profesora Asistente, Jefa del departamento de Formación del profesional en el CUM Jagüey Grande </w:t>
      </w:r>
    </w:p>
  </w:footnote>
  <w:footnote w:id="3">
    <w:p w14:paraId="53D7B2F3" w14:textId="77777777" w:rsidR="0080720D" w:rsidRPr="00EA4AC8" w:rsidRDefault="0080720D" w:rsidP="0080720D">
      <w:pPr>
        <w:pStyle w:val="Textonotapie"/>
        <w:rPr>
          <w:rFonts w:ascii="Times New Roman" w:hAnsi="Times New Roman" w:cs="Times New Roman"/>
          <w:lang w:val="es-ES_tradnl"/>
        </w:rPr>
      </w:pPr>
      <w:r w:rsidRPr="00EA4AC8">
        <w:rPr>
          <w:rStyle w:val="Refdenotaalpie"/>
          <w:rFonts w:ascii="Times New Roman" w:hAnsi="Times New Roman" w:cs="Times New Roman"/>
        </w:rPr>
        <w:footnoteRef/>
      </w:r>
      <w:r w:rsidRPr="00EA4AC8">
        <w:rPr>
          <w:rFonts w:ascii="Times New Roman" w:hAnsi="Times New Roman" w:cs="Times New Roman"/>
          <w:lang w:val="es-ES_tradnl"/>
        </w:rPr>
        <w:t xml:space="preserve"> Leyda Finalé de la Cruz. Ingeniera Industrial. M. Sc. Gestión de la producción, Doctora en Ciencias de la Educación, Profesora Titular, Rectora de la Universidad de Matanzas</w:t>
      </w:r>
    </w:p>
  </w:footnote>
  <w:footnote w:id="4">
    <w:p w14:paraId="14F8EBA6" w14:textId="77777777" w:rsidR="0080720D" w:rsidRPr="0080720D" w:rsidRDefault="0080720D" w:rsidP="0080720D">
      <w:pPr>
        <w:pStyle w:val="Textonotapie"/>
        <w:rPr>
          <w:lang w:val="es-ES_tradnl"/>
        </w:rPr>
      </w:pPr>
      <w:r w:rsidRPr="00EA4AC8">
        <w:rPr>
          <w:rStyle w:val="Refdenotaalpie"/>
          <w:rFonts w:ascii="Times New Roman" w:hAnsi="Times New Roman" w:cs="Times New Roman"/>
        </w:rPr>
        <w:footnoteRef/>
      </w:r>
      <w:r w:rsidRPr="00EA4AC8">
        <w:rPr>
          <w:rFonts w:ascii="Times New Roman" w:hAnsi="Times New Roman" w:cs="Times New Roman"/>
          <w:lang w:val="es-ES_tradnl"/>
        </w:rPr>
        <w:t xml:space="preserve"> Edgar Borot Peraza. Licenciado en Educación, Especialidad Español-Literatura, Doctor en Ciencias Pedagógicas, Profesor Titular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9407AF">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3A59CB58" w14:textId="77777777" w:rsidR="00E25E6F" w:rsidRPr="00C95890" w:rsidRDefault="00E25E6F" w:rsidP="00E25E6F">
          <w:pPr>
            <w:spacing w:line="240" w:lineRule="auto"/>
            <w:jc w:val="center"/>
            <w:rPr>
              <w:b/>
              <w:color w:val="FFFFFF"/>
              <w:sz w:val="22"/>
            </w:rPr>
          </w:pPr>
          <w:r w:rsidRPr="00C95890">
            <w:rPr>
              <w:b/>
              <w:color w:val="FFFFFF"/>
              <w:sz w:val="22"/>
            </w:rPr>
            <w:t>ISSN: 1605 – 5888    RNPS: 1844</w:t>
          </w:r>
        </w:p>
        <w:p w14:paraId="21DACC55" w14:textId="77777777" w:rsidR="00E25E6F" w:rsidRPr="00C95890" w:rsidRDefault="00E25E6F" w:rsidP="00E25E6F">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0089C5B9" w:rsidR="00424BC2" w:rsidRPr="007C732C" w:rsidRDefault="00E25E6F" w:rsidP="00E25E6F">
          <w:pPr>
            <w:spacing w:line="240" w:lineRule="auto"/>
            <w:jc w:val="center"/>
            <w:rPr>
              <w:rFonts w:ascii="Arial" w:hAnsi="Arial" w:cs="Arial"/>
              <w:b/>
              <w:sz w:val="22"/>
            </w:rPr>
          </w:pPr>
          <w:r w:rsidRPr="00C95890">
            <w:rPr>
              <w:b/>
              <w:color w:val="FFFFFF"/>
              <w:sz w:val="22"/>
            </w:rPr>
            <w:t>Págs.</w:t>
          </w:r>
          <w:r w:rsidR="009407AF">
            <w:rPr>
              <w:b/>
              <w:color w:val="FFFFFF"/>
              <w:sz w:val="22"/>
            </w:rPr>
            <w:t>170-182</w:t>
          </w:r>
        </w:p>
      </w:tc>
    </w:tr>
  </w:tbl>
  <w:p w14:paraId="3905D6D7"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4"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5"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6"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7"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8" w15:restartNumberingAfterBreak="0">
    <w:nsid w:val="2B8F53BB"/>
    <w:multiLevelType w:val="hybridMultilevel"/>
    <w:tmpl w:val="CB7C074E"/>
    <w:lvl w:ilvl="0" w:tplc="7E1A0884">
      <w:start w:val="1"/>
      <w:numFmt w:val="bullet"/>
      <w:lvlText w:val=""/>
      <w:lvlJc w:val="left"/>
      <w:pPr>
        <w:ind w:left="720" w:hanging="360"/>
      </w:pPr>
      <w:rPr>
        <w:rFonts w:ascii="Symbol" w:hAnsi="Symbol"/>
      </w:rPr>
    </w:lvl>
    <w:lvl w:ilvl="1" w:tplc="17C08548">
      <w:start w:val="1"/>
      <w:numFmt w:val="bullet"/>
      <w:lvlText w:val=""/>
      <w:lvlJc w:val="left"/>
      <w:pPr>
        <w:ind w:left="720" w:hanging="360"/>
      </w:pPr>
      <w:rPr>
        <w:rFonts w:ascii="Symbol" w:hAnsi="Symbol"/>
      </w:rPr>
    </w:lvl>
    <w:lvl w:ilvl="2" w:tplc="9EE67F24">
      <w:start w:val="1"/>
      <w:numFmt w:val="bullet"/>
      <w:lvlText w:val=""/>
      <w:lvlJc w:val="left"/>
      <w:pPr>
        <w:ind w:left="720" w:hanging="360"/>
      </w:pPr>
      <w:rPr>
        <w:rFonts w:ascii="Symbol" w:hAnsi="Symbol"/>
      </w:rPr>
    </w:lvl>
    <w:lvl w:ilvl="3" w:tplc="E4CC05BC">
      <w:start w:val="1"/>
      <w:numFmt w:val="bullet"/>
      <w:lvlText w:val=""/>
      <w:lvlJc w:val="left"/>
      <w:pPr>
        <w:ind w:left="720" w:hanging="360"/>
      </w:pPr>
      <w:rPr>
        <w:rFonts w:ascii="Symbol" w:hAnsi="Symbol"/>
      </w:rPr>
    </w:lvl>
    <w:lvl w:ilvl="4" w:tplc="64D00AAC">
      <w:start w:val="1"/>
      <w:numFmt w:val="bullet"/>
      <w:lvlText w:val=""/>
      <w:lvlJc w:val="left"/>
      <w:pPr>
        <w:ind w:left="720" w:hanging="360"/>
      </w:pPr>
      <w:rPr>
        <w:rFonts w:ascii="Symbol" w:hAnsi="Symbol"/>
      </w:rPr>
    </w:lvl>
    <w:lvl w:ilvl="5" w:tplc="B414D5E8">
      <w:start w:val="1"/>
      <w:numFmt w:val="bullet"/>
      <w:lvlText w:val=""/>
      <w:lvlJc w:val="left"/>
      <w:pPr>
        <w:ind w:left="720" w:hanging="360"/>
      </w:pPr>
      <w:rPr>
        <w:rFonts w:ascii="Symbol" w:hAnsi="Symbol"/>
      </w:rPr>
    </w:lvl>
    <w:lvl w:ilvl="6" w:tplc="A168AC9A">
      <w:start w:val="1"/>
      <w:numFmt w:val="bullet"/>
      <w:lvlText w:val=""/>
      <w:lvlJc w:val="left"/>
      <w:pPr>
        <w:ind w:left="720" w:hanging="360"/>
      </w:pPr>
      <w:rPr>
        <w:rFonts w:ascii="Symbol" w:hAnsi="Symbol"/>
      </w:rPr>
    </w:lvl>
    <w:lvl w:ilvl="7" w:tplc="0B0664B0">
      <w:start w:val="1"/>
      <w:numFmt w:val="bullet"/>
      <w:lvlText w:val=""/>
      <w:lvlJc w:val="left"/>
      <w:pPr>
        <w:ind w:left="720" w:hanging="360"/>
      </w:pPr>
      <w:rPr>
        <w:rFonts w:ascii="Symbol" w:hAnsi="Symbol"/>
      </w:rPr>
    </w:lvl>
    <w:lvl w:ilvl="8" w:tplc="4BC2E498">
      <w:start w:val="1"/>
      <w:numFmt w:val="bullet"/>
      <w:lvlText w:val=""/>
      <w:lvlJc w:val="left"/>
      <w:pPr>
        <w:ind w:left="720" w:hanging="360"/>
      </w:pPr>
      <w:rPr>
        <w:rFonts w:ascii="Symbol" w:hAnsi="Symbol"/>
      </w:rPr>
    </w:lvl>
  </w:abstractNum>
  <w:abstractNum w:abstractNumId="9" w15:restartNumberingAfterBreak="0">
    <w:nsid w:val="41B510D7"/>
    <w:multiLevelType w:val="hybridMultilevel"/>
    <w:tmpl w:val="6F6059CA"/>
    <w:lvl w:ilvl="0" w:tplc="0409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82643"/>
    <w:multiLevelType w:val="hybridMultilevel"/>
    <w:tmpl w:val="2DB039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3"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4" w15:restartNumberingAfterBreak="0">
    <w:nsid w:val="5A0F4CF4"/>
    <w:multiLevelType w:val="hybridMultilevel"/>
    <w:tmpl w:val="DBA8633A"/>
    <w:lvl w:ilvl="0" w:tplc="4202D1E8">
      <w:start w:val="1"/>
      <w:numFmt w:val="bullet"/>
      <w:lvlText w:val=""/>
      <w:lvlJc w:val="left"/>
      <w:pPr>
        <w:ind w:left="720" w:hanging="360"/>
      </w:pPr>
      <w:rPr>
        <w:rFonts w:ascii="Symbol" w:hAnsi="Symbol"/>
      </w:rPr>
    </w:lvl>
    <w:lvl w:ilvl="1" w:tplc="30A20036">
      <w:start w:val="1"/>
      <w:numFmt w:val="bullet"/>
      <w:lvlText w:val=""/>
      <w:lvlJc w:val="left"/>
      <w:pPr>
        <w:ind w:left="720" w:hanging="360"/>
      </w:pPr>
      <w:rPr>
        <w:rFonts w:ascii="Symbol" w:hAnsi="Symbol"/>
      </w:rPr>
    </w:lvl>
    <w:lvl w:ilvl="2" w:tplc="8710E99A">
      <w:start w:val="1"/>
      <w:numFmt w:val="bullet"/>
      <w:lvlText w:val=""/>
      <w:lvlJc w:val="left"/>
      <w:pPr>
        <w:ind w:left="720" w:hanging="360"/>
      </w:pPr>
      <w:rPr>
        <w:rFonts w:ascii="Symbol" w:hAnsi="Symbol"/>
      </w:rPr>
    </w:lvl>
    <w:lvl w:ilvl="3" w:tplc="667E6042">
      <w:start w:val="1"/>
      <w:numFmt w:val="bullet"/>
      <w:lvlText w:val=""/>
      <w:lvlJc w:val="left"/>
      <w:pPr>
        <w:ind w:left="720" w:hanging="360"/>
      </w:pPr>
      <w:rPr>
        <w:rFonts w:ascii="Symbol" w:hAnsi="Symbol"/>
      </w:rPr>
    </w:lvl>
    <w:lvl w:ilvl="4" w:tplc="24D6984A">
      <w:start w:val="1"/>
      <w:numFmt w:val="bullet"/>
      <w:lvlText w:val=""/>
      <w:lvlJc w:val="left"/>
      <w:pPr>
        <w:ind w:left="720" w:hanging="360"/>
      </w:pPr>
      <w:rPr>
        <w:rFonts w:ascii="Symbol" w:hAnsi="Symbol"/>
      </w:rPr>
    </w:lvl>
    <w:lvl w:ilvl="5" w:tplc="D222ECF4">
      <w:start w:val="1"/>
      <w:numFmt w:val="bullet"/>
      <w:lvlText w:val=""/>
      <w:lvlJc w:val="left"/>
      <w:pPr>
        <w:ind w:left="720" w:hanging="360"/>
      </w:pPr>
      <w:rPr>
        <w:rFonts w:ascii="Symbol" w:hAnsi="Symbol"/>
      </w:rPr>
    </w:lvl>
    <w:lvl w:ilvl="6" w:tplc="ECD8DF4E">
      <w:start w:val="1"/>
      <w:numFmt w:val="bullet"/>
      <w:lvlText w:val=""/>
      <w:lvlJc w:val="left"/>
      <w:pPr>
        <w:ind w:left="720" w:hanging="360"/>
      </w:pPr>
      <w:rPr>
        <w:rFonts w:ascii="Symbol" w:hAnsi="Symbol"/>
      </w:rPr>
    </w:lvl>
    <w:lvl w:ilvl="7" w:tplc="4C060200">
      <w:start w:val="1"/>
      <w:numFmt w:val="bullet"/>
      <w:lvlText w:val=""/>
      <w:lvlJc w:val="left"/>
      <w:pPr>
        <w:ind w:left="720" w:hanging="360"/>
      </w:pPr>
      <w:rPr>
        <w:rFonts w:ascii="Symbol" w:hAnsi="Symbol"/>
      </w:rPr>
    </w:lvl>
    <w:lvl w:ilvl="8" w:tplc="1FA8D06A">
      <w:start w:val="1"/>
      <w:numFmt w:val="bullet"/>
      <w:lvlText w:val=""/>
      <w:lvlJc w:val="left"/>
      <w:pPr>
        <w:ind w:left="720" w:hanging="360"/>
      </w:pPr>
      <w:rPr>
        <w:rFonts w:ascii="Symbol" w:hAnsi="Symbol"/>
      </w:rPr>
    </w:lvl>
  </w:abstractNum>
  <w:abstractNum w:abstractNumId="15"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6" w15:restartNumberingAfterBreak="0">
    <w:nsid w:val="60363C97"/>
    <w:multiLevelType w:val="hybridMultilevel"/>
    <w:tmpl w:val="79146C94"/>
    <w:lvl w:ilvl="0" w:tplc="D49AB6DA">
      <w:start w:val="1"/>
      <w:numFmt w:val="bullet"/>
      <w:lvlText w:val=""/>
      <w:lvlJc w:val="left"/>
      <w:pPr>
        <w:ind w:left="720" w:hanging="360"/>
      </w:pPr>
      <w:rPr>
        <w:rFonts w:ascii="Symbol" w:hAnsi="Symbol"/>
      </w:rPr>
    </w:lvl>
    <w:lvl w:ilvl="1" w:tplc="586CA0E6">
      <w:start w:val="1"/>
      <w:numFmt w:val="bullet"/>
      <w:lvlText w:val=""/>
      <w:lvlJc w:val="left"/>
      <w:pPr>
        <w:ind w:left="720" w:hanging="360"/>
      </w:pPr>
      <w:rPr>
        <w:rFonts w:ascii="Symbol" w:hAnsi="Symbol"/>
      </w:rPr>
    </w:lvl>
    <w:lvl w:ilvl="2" w:tplc="1F3CA678">
      <w:start w:val="1"/>
      <w:numFmt w:val="bullet"/>
      <w:lvlText w:val=""/>
      <w:lvlJc w:val="left"/>
      <w:pPr>
        <w:ind w:left="720" w:hanging="360"/>
      </w:pPr>
      <w:rPr>
        <w:rFonts w:ascii="Symbol" w:hAnsi="Symbol"/>
      </w:rPr>
    </w:lvl>
    <w:lvl w:ilvl="3" w:tplc="F87C47A8">
      <w:start w:val="1"/>
      <w:numFmt w:val="bullet"/>
      <w:lvlText w:val=""/>
      <w:lvlJc w:val="left"/>
      <w:pPr>
        <w:ind w:left="720" w:hanging="360"/>
      </w:pPr>
      <w:rPr>
        <w:rFonts w:ascii="Symbol" w:hAnsi="Symbol"/>
      </w:rPr>
    </w:lvl>
    <w:lvl w:ilvl="4" w:tplc="4A0055F8">
      <w:start w:val="1"/>
      <w:numFmt w:val="bullet"/>
      <w:lvlText w:val=""/>
      <w:lvlJc w:val="left"/>
      <w:pPr>
        <w:ind w:left="720" w:hanging="360"/>
      </w:pPr>
      <w:rPr>
        <w:rFonts w:ascii="Symbol" w:hAnsi="Symbol"/>
      </w:rPr>
    </w:lvl>
    <w:lvl w:ilvl="5" w:tplc="8214B236">
      <w:start w:val="1"/>
      <w:numFmt w:val="bullet"/>
      <w:lvlText w:val=""/>
      <w:lvlJc w:val="left"/>
      <w:pPr>
        <w:ind w:left="720" w:hanging="360"/>
      </w:pPr>
      <w:rPr>
        <w:rFonts w:ascii="Symbol" w:hAnsi="Symbol"/>
      </w:rPr>
    </w:lvl>
    <w:lvl w:ilvl="6" w:tplc="2ECEE84A">
      <w:start w:val="1"/>
      <w:numFmt w:val="bullet"/>
      <w:lvlText w:val=""/>
      <w:lvlJc w:val="left"/>
      <w:pPr>
        <w:ind w:left="720" w:hanging="360"/>
      </w:pPr>
      <w:rPr>
        <w:rFonts w:ascii="Symbol" w:hAnsi="Symbol"/>
      </w:rPr>
    </w:lvl>
    <w:lvl w:ilvl="7" w:tplc="18222AC0">
      <w:start w:val="1"/>
      <w:numFmt w:val="bullet"/>
      <w:lvlText w:val=""/>
      <w:lvlJc w:val="left"/>
      <w:pPr>
        <w:ind w:left="720" w:hanging="360"/>
      </w:pPr>
      <w:rPr>
        <w:rFonts w:ascii="Symbol" w:hAnsi="Symbol"/>
      </w:rPr>
    </w:lvl>
    <w:lvl w:ilvl="8" w:tplc="8B942726">
      <w:start w:val="1"/>
      <w:numFmt w:val="bullet"/>
      <w:lvlText w:val=""/>
      <w:lvlJc w:val="left"/>
      <w:pPr>
        <w:ind w:left="720" w:hanging="360"/>
      </w:pPr>
      <w:rPr>
        <w:rFonts w:ascii="Symbol" w:hAnsi="Symbol"/>
      </w:rPr>
    </w:lvl>
  </w:abstractNum>
  <w:abstractNum w:abstractNumId="17"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8"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9"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20" w15:restartNumberingAfterBreak="0">
    <w:nsid w:val="79493FB6"/>
    <w:multiLevelType w:val="hybridMultilevel"/>
    <w:tmpl w:val="C9545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abstractNum w:abstractNumId="22" w15:restartNumberingAfterBreak="0">
    <w:nsid w:val="7F6D5831"/>
    <w:multiLevelType w:val="hybridMultilevel"/>
    <w:tmpl w:val="1480B4EC"/>
    <w:lvl w:ilvl="0" w:tplc="0409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4"/>
  </w:num>
  <w:num w:numId="4">
    <w:abstractNumId w:val="7"/>
  </w:num>
  <w:num w:numId="5">
    <w:abstractNumId w:val="15"/>
  </w:num>
  <w:num w:numId="6">
    <w:abstractNumId w:val="1"/>
  </w:num>
  <w:num w:numId="7">
    <w:abstractNumId w:val="6"/>
  </w:num>
  <w:num w:numId="8">
    <w:abstractNumId w:val="19"/>
  </w:num>
  <w:num w:numId="9">
    <w:abstractNumId w:val="21"/>
  </w:num>
  <w:num w:numId="10">
    <w:abstractNumId w:val="18"/>
  </w:num>
  <w:num w:numId="11">
    <w:abstractNumId w:val="13"/>
  </w:num>
  <w:num w:numId="12">
    <w:abstractNumId w:val="12"/>
  </w:num>
  <w:num w:numId="13">
    <w:abstractNumId w:val="17"/>
  </w:num>
  <w:num w:numId="14">
    <w:abstractNumId w:val="2"/>
  </w:num>
  <w:num w:numId="15">
    <w:abstractNumId w:val="3"/>
  </w:num>
  <w:num w:numId="16">
    <w:abstractNumId w:val="5"/>
  </w:num>
  <w:num w:numId="17">
    <w:abstractNumId w:val="16"/>
  </w:num>
  <w:num w:numId="18">
    <w:abstractNumId w:val="9"/>
  </w:num>
  <w:num w:numId="19">
    <w:abstractNumId w:val="22"/>
  </w:num>
  <w:num w:numId="20">
    <w:abstractNumId w:val="20"/>
  </w:num>
  <w:num w:numId="21">
    <w:abstractNumId w:val="14"/>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6"/>
    <w:rsid w:val="00014B27"/>
    <w:rsid w:val="000D61BA"/>
    <w:rsid w:val="00107980"/>
    <w:rsid w:val="0011483C"/>
    <w:rsid w:val="00116A3F"/>
    <w:rsid w:val="0014571F"/>
    <w:rsid w:val="001A4C3B"/>
    <w:rsid w:val="002133BB"/>
    <w:rsid w:val="00245110"/>
    <w:rsid w:val="0026601E"/>
    <w:rsid w:val="002C4765"/>
    <w:rsid w:val="0030695B"/>
    <w:rsid w:val="003611E4"/>
    <w:rsid w:val="003940EE"/>
    <w:rsid w:val="00394D01"/>
    <w:rsid w:val="003C197F"/>
    <w:rsid w:val="003D0085"/>
    <w:rsid w:val="003E2BBC"/>
    <w:rsid w:val="003E4EFC"/>
    <w:rsid w:val="003F2DDE"/>
    <w:rsid w:val="00424BC2"/>
    <w:rsid w:val="00441DC7"/>
    <w:rsid w:val="00471538"/>
    <w:rsid w:val="004D7E40"/>
    <w:rsid w:val="004F66AB"/>
    <w:rsid w:val="00501F05"/>
    <w:rsid w:val="00531D56"/>
    <w:rsid w:val="00544882"/>
    <w:rsid w:val="00561E2E"/>
    <w:rsid w:val="00586B9B"/>
    <w:rsid w:val="0059372C"/>
    <w:rsid w:val="005A64E5"/>
    <w:rsid w:val="005E182C"/>
    <w:rsid w:val="006133C5"/>
    <w:rsid w:val="0063134D"/>
    <w:rsid w:val="006A15FE"/>
    <w:rsid w:val="006D41EF"/>
    <w:rsid w:val="00721DA7"/>
    <w:rsid w:val="007878D2"/>
    <w:rsid w:val="007B243D"/>
    <w:rsid w:val="007C1741"/>
    <w:rsid w:val="007C732C"/>
    <w:rsid w:val="007D558A"/>
    <w:rsid w:val="007E7515"/>
    <w:rsid w:val="0080720D"/>
    <w:rsid w:val="00821E76"/>
    <w:rsid w:val="00857F03"/>
    <w:rsid w:val="00860752"/>
    <w:rsid w:val="00876D03"/>
    <w:rsid w:val="00880D0A"/>
    <w:rsid w:val="009018DD"/>
    <w:rsid w:val="009407AF"/>
    <w:rsid w:val="00941653"/>
    <w:rsid w:val="00944AF4"/>
    <w:rsid w:val="0095567A"/>
    <w:rsid w:val="00975652"/>
    <w:rsid w:val="00981512"/>
    <w:rsid w:val="009F1C04"/>
    <w:rsid w:val="00A41E4A"/>
    <w:rsid w:val="00AE56BA"/>
    <w:rsid w:val="00B11885"/>
    <w:rsid w:val="00B23BDF"/>
    <w:rsid w:val="00B33D7D"/>
    <w:rsid w:val="00B71450"/>
    <w:rsid w:val="00B855AE"/>
    <w:rsid w:val="00BC5240"/>
    <w:rsid w:val="00BE7DD6"/>
    <w:rsid w:val="00C35108"/>
    <w:rsid w:val="00C52DF0"/>
    <w:rsid w:val="00C66996"/>
    <w:rsid w:val="00C91882"/>
    <w:rsid w:val="00C9284B"/>
    <w:rsid w:val="00C96910"/>
    <w:rsid w:val="00CB0CC8"/>
    <w:rsid w:val="00CF0E6C"/>
    <w:rsid w:val="00D01449"/>
    <w:rsid w:val="00DA2434"/>
    <w:rsid w:val="00DB52FF"/>
    <w:rsid w:val="00E12233"/>
    <w:rsid w:val="00E25E6F"/>
    <w:rsid w:val="00E50BE1"/>
    <w:rsid w:val="00E6639B"/>
    <w:rsid w:val="00EA4AC8"/>
    <w:rsid w:val="00F30D2A"/>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docId w15:val="{837D8D40-6938-430B-9F46-1B509575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E6F"/>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E25E6F"/>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autoRedefine/>
    <w:uiPriority w:val="9"/>
    <w:semiHidden/>
    <w:unhideWhenUsed/>
    <w:qFormat/>
    <w:rsid w:val="002C4765"/>
    <w:pPr>
      <w:keepNext/>
      <w:keepLines/>
      <w:outlineLvl w:val="1"/>
    </w:pPr>
    <w:rPr>
      <w:rFonts w:eastAsiaTheme="majorEastAsia" w:cstheme="majorBidi"/>
      <w:b/>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944AF4"/>
    <w:pPr>
      <w:spacing w:after="360" w:line="240" w:lineRule="auto"/>
      <w:jc w:val="center"/>
    </w:pPr>
    <w:rPr>
      <w:rFonts w:eastAsia="Arial MT" w:cstheme="majorBidi"/>
      <w:b/>
      <w:spacing w:val="-10"/>
      <w:kern w:val="28"/>
      <w:sz w:val="28"/>
      <w:szCs w:val="56"/>
      <w:lang w:val="en-US"/>
    </w:rPr>
  </w:style>
  <w:style w:type="character" w:customStyle="1" w:styleId="TtuloCar">
    <w:name w:val="Título Car"/>
    <w:basedOn w:val="Fuentedeprrafopredeter"/>
    <w:link w:val="Ttulo"/>
    <w:uiPriority w:val="10"/>
    <w:rsid w:val="00944AF4"/>
    <w:rPr>
      <w:rFonts w:ascii="Times New Roman" w:eastAsia="Arial MT" w:hAnsi="Times New Roman" w:cstheme="majorBidi"/>
      <w:b/>
      <w:spacing w:val="-10"/>
      <w:kern w:val="28"/>
      <w:sz w:val="28"/>
      <w:szCs w:val="56"/>
    </w:rPr>
  </w:style>
  <w:style w:type="character" w:customStyle="1" w:styleId="Ttulo1Car">
    <w:name w:val="Título 1 Car"/>
    <w:basedOn w:val="Fuentedeprrafopredeter"/>
    <w:link w:val="Ttulo1"/>
    <w:uiPriority w:val="9"/>
    <w:rsid w:val="00E25E6F"/>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semiHidden/>
    <w:rsid w:val="002C4765"/>
    <w:rPr>
      <w:rFonts w:ascii="Times New Roman" w:eastAsiaTheme="majorEastAsia" w:hAnsi="Times New Roman" w:cstheme="majorBidi"/>
      <w:b/>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C91882"/>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C91882"/>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character" w:styleId="nfasis">
    <w:name w:val="Emphasis"/>
    <w:basedOn w:val="Fuentedeprrafopredeter"/>
    <w:uiPriority w:val="20"/>
    <w:qFormat/>
    <w:rsid w:val="0059372C"/>
    <w:rPr>
      <w:i/>
      <w:iCs/>
    </w:rPr>
  </w:style>
  <w:style w:type="character" w:customStyle="1" w:styleId="UnresolvedMention">
    <w:name w:val="Unresolved Mention"/>
    <w:basedOn w:val="Fuentedeprrafopredeter"/>
    <w:uiPriority w:val="99"/>
    <w:semiHidden/>
    <w:unhideWhenUsed/>
    <w:rsid w:val="000D61BA"/>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F30D2A"/>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F30D2A"/>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D0144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449"/>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15987">
      <w:bodyDiv w:val="1"/>
      <w:marLeft w:val="0"/>
      <w:marRight w:val="0"/>
      <w:marTop w:val="0"/>
      <w:marBottom w:val="0"/>
      <w:divBdr>
        <w:top w:val="none" w:sz="0" w:space="0" w:color="auto"/>
        <w:left w:val="none" w:sz="0" w:space="0" w:color="auto"/>
        <w:bottom w:val="none" w:sz="0" w:space="0" w:color="auto"/>
        <w:right w:val="none" w:sz="0" w:space="0" w:color="auto"/>
      </w:divBdr>
      <w:divsChild>
        <w:div w:id="885485816">
          <w:marLeft w:val="0"/>
          <w:marRight w:val="0"/>
          <w:marTop w:val="0"/>
          <w:marBottom w:val="0"/>
          <w:divBdr>
            <w:top w:val="none" w:sz="0" w:space="0" w:color="auto"/>
            <w:left w:val="none" w:sz="0" w:space="0" w:color="auto"/>
            <w:bottom w:val="none" w:sz="0" w:space="0" w:color="auto"/>
            <w:right w:val="none" w:sz="0" w:space="0" w:color="auto"/>
          </w:divBdr>
          <w:divsChild>
            <w:div w:id="645284953">
              <w:marLeft w:val="0"/>
              <w:marRight w:val="0"/>
              <w:marTop w:val="0"/>
              <w:marBottom w:val="0"/>
              <w:divBdr>
                <w:top w:val="none" w:sz="0" w:space="0" w:color="auto"/>
                <w:left w:val="none" w:sz="0" w:space="0" w:color="auto"/>
                <w:bottom w:val="none" w:sz="0" w:space="0" w:color="auto"/>
                <w:right w:val="none" w:sz="0" w:space="0" w:color="auto"/>
              </w:divBdr>
              <w:divsChild>
                <w:div w:id="1943756060">
                  <w:marLeft w:val="0"/>
                  <w:marRight w:val="0"/>
                  <w:marTop w:val="0"/>
                  <w:marBottom w:val="0"/>
                  <w:divBdr>
                    <w:top w:val="none" w:sz="0" w:space="0" w:color="auto"/>
                    <w:left w:val="none" w:sz="0" w:space="0" w:color="auto"/>
                    <w:bottom w:val="none" w:sz="0" w:space="0" w:color="auto"/>
                    <w:right w:val="none" w:sz="0" w:space="0" w:color="auto"/>
                  </w:divBdr>
                  <w:divsChild>
                    <w:div w:id="1045566004">
                      <w:marLeft w:val="0"/>
                      <w:marRight w:val="0"/>
                      <w:marTop w:val="0"/>
                      <w:marBottom w:val="0"/>
                      <w:divBdr>
                        <w:top w:val="none" w:sz="0" w:space="0" w:color="auto"/>
                        <w:left w:val="none" w:sz="0" w:space="0" w:color="auto"/>
                        <w:bottom w:val="none" w:sz="0" w:space="0" w:color="auto"/>
                        <w:right w:val="none" w:sz="0" w:space="0" w:color="auto"/>
                      </w:divBdr>
                      <w:divsChild>
                        <w:div w:id="479807418">
                          <w:marLeft w:val="0"/>
                          <w:marRight w:val="0"/>
                          <w:marTop w:val="0"/>
                          <w:marBottom w:val="0"/>
                          <w:divBdr>
                            <w:top w:val="none" w:sz="0" w:space="0" w:color="auto"/>
                            <w:left w:val="none" w:sz="0" w:space="0" w:color="auto"/>
                            <w:bottom w:val="none" w:sz="0" w:space="0" w:color="auto"/>
                            <w:right w:val="none" w:sz="0" w:space="0" w:color="auto"/>
                          </w:divBdr>
                          <w:divsChild>
                            <w:div w:id="1270819210">
                              <w:marLeft w:val="0"/>
                              <w:marRight w:val="0"/>
                              <w:marTop w:val="0"/>
                              <w:marBottom w:val="0"/>
                              <w:divBdr>
                                <w:top w:val="none" w:sz="0" w:space="0" w:color="auto"/>
                                <w:left w:val="none" w:sz="0" w:space="0" w:color="auto"/>
                                <w:bottom w:val="none" w:sz="0" w:space="0" w:color="auto"/>
                                <w:right w:val="none" w:sz="0" w:space="0" w:color="auto"/>
                              </w:divBdr>
                              <w:divsChild>
                                <w:div w:id="7422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470596">
      <w:bodyDiv w:val="1"/>
      <w:marLeft w:val="0"/>
      <w:marRight w:val="0"/>
      <w:marTop w:val="0"/>
      <w:marBottom w:val="0"/>
      <w:divBdr>
        <w:top w:val="none" w:sz="0" w:space="0" w:color="auto"/>
        <w:left w:val="none" w:sz="0" w:space="0" w:color="auto"/>
        <w:bottom w:val="none" w:sz="0" w:space="0" w:color="auto"/>
        <w:right w:val="none" w:sz="0" w:space="0" w:color="auto"/>
      </w:divBdr>
    </w:div>
    <w:div w:id="507446906">
      <w:bodyDiv w:val="1"/>
      <w:marLeft w:val="0"/>
      <w:marRight w:val="0"/>
      <w:marTop w:val="0"/>
      <w:marBottom w:val="0"/>
      <w:divBdr>
        <w:top w:val="none" w:sz="0" w:space="0" w:color="auto"/>
        <w:left w:val="none" w:sz="0" w:space="0" w:color="auto"/>
        <w:bottom w:val="none" w:sz="0" w:space="0" w:color="auto"/>
        <w:right w:val="none" w:sz="0" w:space="0" w:color="auto"/>
      </w:divBdr>
    </w:div>
    <w:div w:id="572160754">
      <w:bodyDiv w:val="1"/>
      <w:marLeft w:val="0"/>
      <w:marRight w:val="0"/>
      <w:marTop w:val="0"/>
      <w:marBottom w:val="0"/>
      <w:divBdr>
        <w:top w:val="none" w:sz="0" w:space="0" w:color="auto"/>
        <w:left w:val="none" w:sz="0" w:space="0" w:color="auto"/>
        <w:bottom w:val="none" w:sz="0" w:space="0" w:color="auto"/>
        <w:right w:val="none" w:sz="0" w:space="0" w:color="auto"/>
      </w:divBdr>
    </w:div>
    <w:div w:id="1000039580">
      <w:bodyDiv w:val="1"/>
      <w:marLeft w:val="0"/>
      <w:marRight w:val="0"/>
      <w:marTop w:val="0"/>
      <w:marBottom w:val="0"/>
      <w:divBdr>
        <w:top w:val="none" w:sz="0" w:space="0" w:color="auto"/>
        <w:left w:val="none" w:sz="0" w:space="0" w:color="auto"/>
        <w:bottom w:val="none" w:sz="0" w:space="0" w:color="auto"/>
        <w:right w:val="none" w:sz="0" w:space="0" w:color="auto"/>
      </w:divBdr>
    </w:div>
    <w:div w:id="11959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556-8025" TargetMode="External"/><Relationship Id="rId13" Type="http://schemas.openxmlformats.org/officeDocument/2006/relationships/hyperlink" Target="http://www.rces.uh.cu/index.php/RCES/article/view/287/328" TargetMode="External"/><Relationship Id="rId18" Type="http://schemas.openxmlformats.org/officeDocument/2006/relationships/hyperlink" Target="https://www.eumed.net/rev/caribe/2017/08/desarrollo-local.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iosemis.sardinas@umcc.cu" TargetMode="External"/><Relationship Id="rId12" Type="http://schemas.openxmlformats.org/officeDocument/2006/relationships/hyperlink" Target="https://orcid.org/0000-0001-5553-3670" TargetMode="External"/><Relationship Id="rId17" Type="http://schemas.openxmlformats.org/officeDocument/2006/relationships/hyperlink" Target="http://www.horizontepedagogico.rimed.cu/index.php/hop/article/view/297" TargetMode="External"/><Relationship Id="rId2" Type="http://schemas.openxmlformats.org/officeDocument/2006/relationships/styles" Target="styles.xml"/><Relationship Id="rId16" Type="http://schemas.openxmlformats.org/officeDocument/2006/relationships/hyperlink" Target="https://redib.org/Record/oai_articulo408635-business-process-modelingevolution-concept-a-university-contex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gar.borot@umcc.cu" TargetMode="External"/><Relationship Id="rId5" Type="http://schemas.openxmlformats.org/officeDocument/2006/relationships/footnotes" Target="footnotes.xml"/><Relationship Id="rId15" Type="http://schemas.openxmlformats.org/officeDocument/2006/relationships/hyperlink" Target="http://humanidadesmedicas.sld.cu/index.php/hm/article/view/1441" TargetMode="External"/><Relationship Id="rId10" Type="http://schemas.openxmlformats.org/officeDocument/2006/relationships/hyperlink" Target="https://orcid.org/0000-0001-8218-215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tor@umcc.cu" TargetMode="External"/><Relationship Id="rId14" Type="http://schemas.openxmlformats.org/officeDocument/2006/relationships/hyperlink" Target="https://www.cepal.org/es/publicaciones/4015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3610</Words>
  <Characters>20579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2024-03-12T12:02:00Z</cp:lastPrinted>
  <dcterms:created xsi:type="dcterms:W3CDTF">2023-06-23T13:19:00Z</dcterms:created>
  <dcterms:modified xsi:type="dcterms:W3CDTF">2024-03-12T12:02:00Z</dcterms:modified>
</cp:coreProperties>
</file>