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7ED90" w14:textId="77777777" w:rsidR="007E17A4" w:rsidRPr="00726B95" w:rsidRDefault="007E17A4" w:rsidP="00995F8E">
      <w:pPr>
        <w:widowControl w:val="0"/>
        <w:jc w:val="center"/>
        <w:rPr>
          <w:rFonts w:ascii="Times New Roman" w:hAnsi="Times New Roman" w:cs="Times New Roman"/>
          <w:b/>
          <w:sz w:val="24"/>
        </w:rPr>
      </w:pPr>
      <w:r w:rsidRPr="00726B95">
        <w:rPr>
          <w:rFonts w:ascii="Times New Roman" w:hAnsi="Times New Roman" w:cs="Times New Roman"/>
          <w:b/>
          <w:sz w:val="24"/>
        </w:rPr>
        <w:t>La superación profesional en neuroeducación para la atención al TDAH desde el Centro de Diagnóstico y Orientación</w:t>
      </w:r>
    </w:p>
    <w:p w14:paraId="6F123325" w14:textId="77777777" w:rsidR="005154B6" w:rsidRPr="00726B95" w:rsidRDefault="005154B6" w:rsidP="005154B6">
      <w:pPr>
        <w:jc w:val="center"/>
        <w:rPr>
          <w:rFonts w:ascii="Times New Roman" w:hAnsi="Times New Roman" w:cs="Times New Roman"/>
          <w:bCs/>
          <w:iCs/>
          <w:sz w:val="24"/>
          <w:szCs w:val="24"/>
          <w:lang w:val="en-US"/>
        </w:rPr>
      </w:pPr>
      <w:r w:rsidRPr="00726B95">
        <w:rPr>
          <w:rFonts w:ascii="Times New Roman" w:hAnsi="Times New Roman" w:cs="Times New Roman"/>
          <w:bCs/>
          <w:iCs/>
          <w:sz w:val="24"/>
          <w:szCs w:val="24"/>
          <w:lang w:val="en-US"/>
        </w:rPr>
        <w:t>Professional upgrading in neuroeducation for ADHD care from the Diagnosis and Orientation Center</w:t>
      </w:r>
    </w:p>
    <w:p w14:paraId="07499A81" w14:textId="75143FF0" w:rsidR="00054E02" w:rsidRPr="00572950" w:rsidRDefault="005154B6">
      <w:pPr>
        <w:widowControl w:val="0"/>
        <w:jc w:val="right"/>
        <w:rPr>
          <w:rFonts w:ascii="Times New Roman" w:hAnsi="Times New Roman" w:cs="Times New Roman"/>
          <w:b/>
          <w:bCs/>
          <w:i/>
          <w:sz w:val="24"/>
          <w:szCs w:val="24"/>
        </w:rPr>
      </w:pPr>
      <w:r w:rsidRPr="00572950">
        <w:rPr>
          <w:rFonts w:ascii="Times New Roman" w:hAnsi="Times New Roman" w:cs="Times New Roman"/>
          <w:b/>
          <w:bCs/>
          <w:i/>
          <w:sz w:val="24"/>
          <w:szCs w:val="24"/>
        </w:rPr>
        <w:t>A</w:t>
      </w:r>
      <w:r w:rsidR="00F4223A" w:rsidRPr="00572950">
        <w:rPr>
          <w:rFonts w:ascii="Times New Roman" w:hAnsi="Times New Roman" w:cs="Times New Roman"/>
          <w:b/>
          <w:bCs/>
          <w:i/>
          <w:sz w:val="24"/>
          <w:szCs w:val="24"/>
        </w:rPr>
        <w:t>rtículo</w:t>
      </w:r>
      <w:r w:rsidRPr="00572950">
        <w:rPr>
          <w:rFonts w:ascii="Times New Roman" w:hAnsi="Times New Roman" w:cs="Times New Roman"/>
          <w:b/>
          <w:bCs/>
          <w:i/>
          <w:sz w:val="24"/>
          <w:szCs w:val="24"/>
        </w:rPr>
        <w:t xml:space="preserve"> </w:t>
      </w:r>
      <w:r w:rsidR="00572950" w:rsidRPr="00572950">
        <w:rPr>
          <w:rFonts w:ascii="Times New Roman" w:hAnsi="Times New Roman" w:cs="Times New Roman"/>
          <w:b/>
          <w:bCs/>
          <w:i/>
          <w:sz w:val="24"/>
          <w:szCs w:val="24"/>
        </w:rPr>
        <w:t xml:space="preserve">de investigación </w:t>
      </w:r>
    </w:p>
    <w:p w14:paraId="2DB8F193" w14:textId="0FC26A2A" w:rsidR="00054E02" w:rsidRDefault="00F4223A">
      <w:pPr>
        <w:widowControl w:val="0"/>
        <w:rPr>
          <w:rFonts w:ascii="Times New Roman" w:hAnsi="Times New Roman" w:cs="Times New Roman"/>
          <w:b/>
          <w:sz w:val="28"/>
          <w:szCs w:val="24"/>
        </w:rPr>
      </w:pPr>
      <w:r>
        <w:rPr>
          <w:rFonts w:ascii="Times New Roman" w:hAnsi="Times New Roman" w:cs="Times New Roman"/>
          <w:b/>
          <w:sz w:val="28"/>
          <w:szCs w:val="24"/>
        </w:rPr>
        <w:t>AUTOR (ES):</w:t>
      </w:r>
    </w:p>
    <w:p w14:paraId="68710535" w14:textId="0E518FF9" w:rsidR="00F87A92" w:rsidRPr="001F03FD" w:rsidRDefault="00F87A92" w:rsidP="003A53E4">
      <w:pPr>
        <w:widowControl w:val="0"/>
        <w:spacing w:after="0" w:line="240" w:lineRule="auto"/>
        <w:ind w:left="425"/>
        <w:rPr>
          <w:rFonts w:ascii="Times New Roman" w:eastAsia="Calibri" w:hAnsi="Times New Roman" w:cs="Times New Roman"/>
          <w:sz w:val="24"/>
          <w:szCs w:val="24"/>
          <w:lang w:val="es-MX"/>
        </w:rPr>
      </w:pPr>
      <w:r w:rsidRPr="001F03FD">
        <w:rPr>
          <w:rFonts w:ascii="Times New Roman" w:eastAsia="Calibri" w:hAnsi="Times New Roman" w:cs="Times New Roman"/>
          <w:sz w:val="24"/>
          <w:szCs w:val="24"/>
          <w:lang w:val="es-MX"/>
        </w:rPr>
        <w:t>M</w:t>
      </w:r>
      <w:r w:rsidR="00726B95" w:rsidRPr="001F03FD">
        <w:rPr>
          <w:rFonts w:ascii="Times New Roman" w:eastAsia="Calibri" w:hAnsi="Times New Roman" w:cs="Times New Roman"/>
          <w:sz w:val="24"/>
          <w:szCs w:val="24"/>
          <w:lang w:val="es-MX"/>
        </w:rPr>
        <w:t>. Sc.</w:t>
      </w:r>
      <w:r w:rsidRPr="001F03FD">
        <w:rPr>
          <w:rFonts w:ascii="Times New Roman" w:eastAsia="Calibri" w:hAnsi="Times New Roman" w:cs="Times New Roman"/>
          <w:sz w:val="24"/>
          <w:szCs w:val="24"/>
          <w:lang w:val="es-MX"/>
        </w:rPr>
        <w:t xml:space="preserve"> Jacinto Morgade Molina</w:t>
      </w:r>
      <w:r w:rsidR="00726B95" w:rsidRPr="001F03FD">
        <w:rPr>
          <w:rStyle w:val="Refdenotaalpie"/>
          <w:rFonts w:ascii="Times New Roman" w:eastAsia="Calibri" w:hAnsi="Times New Roman" w:cs="Times New Roman"/>
          <w:sz w:val="24"/>
          <w:szCs w:val="24"/>
          <w:lang w:val="es-MX"/>
        </w:rPr>
        <w:footnoteReference w:id="1"/>
      </w:r>
    </w:p>
    <w:p w14:paraId="52E1BDE2" w14:textId="3220645D" w:rsidR="00F87A92" w:rsidRPr="001F03FD" w:rsidRDefault="00F87A92" w:rsidP="003A53E4">
      <w:pPr>
        <w:widowControl w:val="0"/>
        <w:spacing w:after="0" w:line="240" w:lineRule="auto"/>
        <w:ind w:left="425"/>
        <w:rPr>
          <w:rFonts w:ascii="Times New Roman" w:hAnsi="Times New Roman" w:cs="Times New Roman"/>
          <w:i/>
          <w:sz w:val="24"/>
          <w:szCs w:val="24"/>
        </w:rPr>
      </w:pPr>
      <w:r w:rsidRPr="001F03FD">
        <w:rPr>
          <w:rFonts w:ascii="Times New Roman" w:hAnsi="Times New Roman" w:cs="Times New Roman"/>
          <w:i/>
          <w:sz w:val="24"/>
          <w:szCs w:val="24"/>
        </w:rPr>
        <w:t>Correo:</w:t>
      </w:r>
      <w:r w:rsidRPr="001F03FD">
        <w:rPr>
          <w:rFonts w:ascii="Times New Roman" w:hAnsi="Times New Roman" w:cs="Times New Roman"/>
          <w:sz w:val="24"/>
          <w:szCs w:val="24"/>
          <w:lang w:val="es-HN"/>
        </w:rPr>
        <w:t xml:space="preserve"> </w:t>
      </w:r>
      <w:hyperlink r:id="rId8" w:history="1">
        <w:r w:rsidRPr="001F03FD">
          <w:rPr>
            <w:rFonts w:ascii="Times New Roman" w:hAnsi="Times New Roman" w:cs="Times New Roman"/>
            <w:color w:val="0563C1" w:themeColor="hyperlink"/>
            <w:sz w:val="24"/>
            <w:szCs w:val="24"/>
            <w:u w:val="single"/>
            <w:lang w:val="es-HN"/>
          </w:rPr>
          <w:t>morgadomolinaj@gmail.com</w:t>
        </w:r>
      </w:hyperlink>
    </w:p>
    <w:p w14:paraId="393E7C11" w14:textId="03DAAB59" w:rsidR="00F87A92" w:rsidRPr="001F03FD" w:rsidRDefault="00726B95" w:rsidP="003A53E4">
      <w:pPr>
        <w:widowControl w:val="0"/>
        <w:spacing w:after="0" w:line="240" w:lineRule="auto"/>
        <w:ind w:left="425"/>
        <w:rPr>
          <w:rFonts w:ascii="Times New Roman" w:hAnsi="Times New Roman" w:cs="Times New Roman"/>
          <w:i/>
          <w:sz w:val="24"/>
          <w:szCs w:val="24"/>
        </w:rPr>
      </w:pPr>
      <w:proofErr w:type="spellStart"/>
      <w:r w:rsidRPr="001F03FD">
        <w:rPr>
          <w:rFonts w:ascii="Times New Roman" w:hAnsi="Times New Roman" w:cs="Times New Roman"/>
          <w:i/>
          <w:sz w:val="24"/>
          <w:szCs w:val="24"/>
        </w:rPr>
        <w:t>O</w:t>
      </w:r>
      <w:r w:rsidR="00F87A92" w:rsidRPr="001F03FD">
        <w:rPr>
          <w:rFonts w:ascii="Times New Roman" w:hAnsi="Times New Roman" w:cs="Times New Roman"/>
          <w:i/>
          <w:sz w:val="24"/>
          <w:szCs w:val="24"/>
        </w:rPr>
        <w:t>rcid</w:t>
      </w:r>
      <w:proofErr w:type="spellEnd"/>
      <w:r w:rsidR="00F87A92" w:rsidRPr="001F03FD">
        <w:rPr>
          <w:rFonts w:ascii="Times New Roman" w:hAnsi="Times New Roman" w:cs="Times New Roman"/>
          <w:i/>
          <w:sz w:val="24"/>
          <w:szCs w:val="24"/>
        </w:rPr>
        <w:t xml:space="preserve">. </w:t>
      </w:r>
      <w:hyperlink r:id="rId9" w:history="1">
        <w:r w:rsidR="00F87A92" w:rsidRPr="001F03FD">
          <w:rPr>
            <w:rStyle w:val="Hipervnculo"/>
            <w:rFonts w:ascii="Times New Roman" w:hAnsi="Times New Roman" w:cs="Times New Roman"/>
            <w:i/>
            <w:sz w:val="24"/>
            <w:szCs w:val="24"/>
          </w:rPr>
          <w:t>https://orcid.org/0009-0007-6066-6663</w:t>
        </w:r>
      </w:hyperlink>
      <w:r w:rsidR="00F87A92" w:rsidRPr="001F03FD">
        <w:rPr>
          <w:rFonts w:ascii="Times New Roman" w:hAnsi="Times New Roman" w:cs="Times New Roman"/>
          <w:i/>
          <w:sz w:val="24"/>
          <w:szCs w:val="24"/>
        </w:rPr>
        <w:t xml:space="preserve"> </w:t>
      </w:r>
    </w:p>
    <w:p w14:paraId="2D2A6068" w14:textId="77777777" w:rsidR="00F87A92" w:rsidRPr="001F03FD" w:rsidRDefault="00F87A92" w:rsidP="003A53E4">
      <w:pPr>
        <w:widowControl w:val="0"/>
        <w:spacing w:line="240" w:lineRule="auto"/>
        <w:ind w:left="425"/>
        <w:rPr>
          <w:rFonts w:ascii="Times New Roman" w:hAnsi="Times New Roman" w:cs="Times New Roman"/>
          <w:sz w:val="24"/>
          <w:szCs w:val="24"/>
        </w:rPr>
      </w:pPr>
      <w:r w:rsidRPr="001F03FD">
        <w:rPr>
          <w:rFonts w:ascii="Times New Roman" w:hAnsi="Times New Roman" w:cs="Times New Roman"/>
          <w:sz w:val="24"/>
          <w:szCs w:val="24"/>
          <w:lang w:val="es-HN"/>
        </w:rPr>
        <w:t>Dirección General de Educación, Centro de Diagnóstico y Orientación Camagüey, Cuba</w:t>
      </w:r>
    </w:p>
    <w:p w14:paraId="4DC15384" w14:textId="1F528DD9" w:rsidR="00F87A92" w:rsidRPr="001F03FD" w:rsidRDefault="00F87A92" w:rsidP="003A53E4">
      <w:pPr>
        <w:widowControl w:val="0"/>
        <w:spacing w:after="0" w:line="240" w:lineRule="auto"/>
        <w:ind w:left="425"/>
        <w:rPr>
          <w:rFonts w:ascii="Times New Roman" w:hAnsi="Times New Roman" w:cs="Times New Roman"/>
          <w:sz w:val="24"/>
          <w:szCs w:val="24"/>
        </w:rPr>
      </w:pPr>
      <w:r w:rsidRPr="001F03FD">
        <w:rPr>
          <w:rFonts w:ascii="Times New Roman" w:hAnsi="Times New Roman" w:cs="Times New Roman"/>
          <w:sz w:val="24"/>
          <w:szCs w:val="24"/>
        </w:rPr>
        <w:t>Dr. C Lisset González Cobos</w:t>
      </w:r>
      <w:r w:rsidR="00726B95" w:rsidRPr="001F03FD">
        <w:rPr>
          <w:rStyle w:val="Refdenotaalpie"/>
          <w:rFonts w:ascii="Times New Roman" w:hAnsi="Times New Roman" w:cs="Times New Roman"/>
          <w:sz w:val="24"/>
          <w:szCs w:val="24"/>
        </w:rPr>
        <w:footnoteReference w:id="2"/>
      </w:r>
      <w:r w:rsidRPr="001F03FD">
        <w:rPr>
          <w:rFonts w:ascii="Times New Roman" w:hAnsi="Times New Roman" w:cs="Times New Roman"/>
          <w:sz w:val="24"/>
          <w:szCs w:val="24"/>
        </w:rPr>
        <w:t xml:space="preserve"> </w:t>
      </w:r>
    </w:p>
    <w:p w14:paraId="0CADD1B6" w14:textId="055EDBB6" w:rsidR="00F87A92" w:rsidRPr="001F03FD" w:rsidRDefault="00F87A92" w:rsidP="003A53E4">
      <w:pPr>
        <w:widowControl w:val="0"/>
        <w:spacing w:after="0" w:line="240" w:lineRule="auto"/>
        <w:ind w:left="425"/>
        <w:rPr>
          <w:rFonts w:ascii="Times New Roman" w:hAnsi="Times New Roman" w:cs="Times New Roman"/>
          <w:i/>
          <w:sz w:val="24"/>
          <w:szCs w:val="24"/>
        </w:rPr>
      </w:pPr>
      <w:r w:rsidRPr="001F03FD">
        <w:rPr>
          <w:rFonts w:ascii="Times New Roman" w:hAnsi="Times New Roman" w:cs="Times New Roman"/>
          <w:i/>
          <w:sz w:val="24"/>
          <w:szCs w:val="24"/>
        </w:rPr>
        <w:t>Correo:</w:t>
      </w:r>
      <w:r w:rsidRPr="001F03FD">
        <w:rPr>
          <w:rFonts w:ascii="Times New Roman" w:hAnsi="Times New Roman" w:cs="Times New Roman"/>
          <w:sz w:val="24"/>
          <w:szCs w:val="24"/>
        </w:rPr>
        <w:t xml:space="preserve"> </w:t>
      </w:r>
      <w:r w:rsidRPr="001F03FD">
        <w:rPr>
          <w:rFonts w:ascii="Times New Roman" w:hAnsi="Times New Roman" w:cs="Times New Roman"/>
          <w:color w:val="0563C1" w:themeColor="hyperlink"/>
          <w:sz w:val="24"/>
          <w:szCs w:val="24"/>
          <w:u w:val="single"/>
        </w:rPr>
        <w:t>lissetgonzalezcobos@gmail.com</w:t>
      </w:r>
    </w:p>
    <w:p w14:paraId="0352F608" w14:textId="0E9C604E" w:rsidR="00F87A92" w:rsidRPr="001F03FD" w:rsidRDefault="00726B95" w:rsidP="003A53E4">
      <w:pPr>
        <w:widowControl w:val="0"/>
        <w:spacing w:after="0" w:line="240" w:lineRule="auto"/>
        <w:ind w:left="425"/>
        <w:rPr>
          <w:rFonts w:ascii="Times New Roman" w:hAnsi="Times New Roman" w:cs="Times New Roman"/>
          <w:sz w:val="24"/>
          <w:szCs w:val="24"/>
        </w:rPr>
      </w:pPr>
      <w:proofErr w:type="spellStart"/>
      <w:r w:rsidRPr="001F03FD">
        <w:rPr>
          <w:rFonts w:ascii="Times New Roman" w:hAnsi="Times New Roman" w:cs="Times New Roman"/>
          <w:i/>
          <w:iCs/>
          <w:sz w:val="24"/>
          <w:szCs w:val="24"/>
        </w:rPr>
        <w:t>O</w:t>
      </w:r>
      <w:r w:rsidR="00F87A92" w:rsidRPr="001F03FD">
        <w:rPr>
          <w:rFonts w:ascii="Times New Roman" w:hAnsi="Times New Roman" w:cs="Times New Roman"/>
          <w:i/>
          <w:iCs/>
          <w:sz w:val="24"/>
          <w:szCs w:val="24"/>
        </w:rPr>
        <w:t>rcid</w:t>
      </w:r>
      <w:proofErr w:type="spellEnd"/>
      <w:r w:rsidRPr="001F03FD">
        <w:rPr>
          <w:rFonts w:ascii="Times New Roman" w:hAnsi="Times New Roman" w:cs="Times New Roman"/>
          <w:i/>
          <w:iCs/>
          <w:sz w:val="24"/>
          <w:szCs w:val="24"/>
        </w:rPr>
        <w:t>:</w:t>
      </w:r>
      <w:r w:rsidR="00F87A92" w:rsidRPr="001F03FD">
        <w:rPr>
          <w:rFonts w:ascii="Times New Roman" w:hAnsi="Times New Roman" w:cs="Times New Roman"/>
        </w:rPr>
        <w:t xml:space="preserve"> </w:t>
      </w:r>
      <w:hyperlink r:id="rId10" w:history="1">
        <w:r w:rsidR="00F87A92" w:rsidRPr="001F03FD">
          <w:rPr>
            <w:rFonts w:ascii="Times New Roman" w:hAnsi="Times New Roman" w:cs="Times New Roman"/>
            <w:color w:val="0563C1" w:themeColor="hyperlink"/>
            <w:sz w:val="24"/>
            <w:szCs w:val="24"/>
            <w:u w:val="single"/>
          </w:rPr>
          <w:t xml:space="preserve">https://orcid.org/0000-0003-2755-4540 </w:t>
        </w:r>
      </w:hyperlink>
    </w:p>
    <w:p w14:paraId="123E0B0F" w14:textId="14B0BD06" w:rsidR="00F87A92" w:rsidRPr="001F03FD" w:rsidRDefault="00F87A92" w:rsidP="003A53E4">
      <w:pPr>
        <w:widowControl w:val="0"/>
        <w:spacing w:after="120" w:line="240" w:lineRule="auto"/>
        <w:ind w:left="425"/>
        <w:rPr>
          <w:rFonts w:ascii="Times New Roman" w:hAnsi="Times New Roman" w:cs="Times New Roman"/>
          <w:sz w:val="24"/>
          <w:szCs w:val="24"/>
        </w:rPr>
      </w:pPr>
      <w:r w:rsidRPr="001F03FD">
        <w:rPr>
          <w:rFonts w:ascii="Times New Roman" w:hAnsi="Times New Roman" w:cs="Times New Roman"/>
          <w:sz w:val="24"/>
          <w:szCs w:val="24"/>
        </w:rPr>
        <w:t>Universidad de Camagüey Ignacio Agramonte, Centro de investigación de la calidad de la educación, Cuba</w:t>
      </w:r>
    </w:p>
    <w:p w14:paraId="01A31D59" w14:textId="3BC35682" w:rsidR="00F87A92" w:rsidRPr="001F03FD" w:rsidRDefault="00F87A92" w:rsidP="003A53E4">
      <w:pPr>
        <w:widowControl w:val="0"/>
        <w:spacing w:after="0" w:line="240" w:lineRule="auto"/>
        <w:ind w:left="425"/>
        <w:rPr>
          <w:rFonts w:ascii="Times New Roman" w:hAnsi="Times New Roman" w:cs="Times New Roman"/>
          <w:sz w:val="24"/>
          <w:szCs w:val="24"/>
        </w:rPr>
      </w:pPr>
      <w:proofErr w:type="spellStart"/>
      <w:r w:rsidRPr="001F03FD">
        <w:rPr>
          <w:rFonts w:ascii="Times New Roman" w:hAnsi="Times New Roman" w:cs="Times New Roman"/>
          <w:sz w:val="24"/>
          <w:szCs w:val="24"/>
        </w:rPr>
        <w:t>Dr.C</w:t>
      </w:r>
      <w:proofErr w:type="spellEnd"/>
      <w:r w:rsidR="00726B95" w:rsidRPr="001F03FD">
        <w:rPr>
          <w:rFonts w:ascii="Times New Roman" w:hAnsi="Times New Roman" w:cs="Times New Roman"/>
          <w:sz w:val="24"/>
          <w:szCs w:val="24"/>
        </w:rPr>
        <w:t>.</w:t>
      </w:r>
      <w:r w:rsidRPr="001F03FD">
        <w:rPr>
          <w:rFonts w:ascii="Times New Roman" w:hAnsi="Times New Roman" w:cs="Times New Roman"/>
          <w:sz w:val="24"/>
          <w:szCs w:val="24"/>
        </w:rPr>
        <w:t xml:space="preserve"> Clay Péres Jiménez</w:t>
      </w:r>
      <w:r w:rsidR="00726B95" w:rsidRPr="001F03FD">
        <w:rPr>
          <w:rStyle w:val="Refdenotaalpie"/>
          <w:rFonts w:ascii="Times New Roman" w:hAnsi="Times New Roman" w:cs="Times New Roman"/>
          <w:sz w:val="24"/>
          <w:szCs w:val="24"/>
        </w:rPr>
        <w:footnoteReference w:id="3"/>
      </w:r>
      <w:r w:rsidRPr="001F03FD">
        <w:rPr>
          <w:rFonts w:ascii="Times New Roman" w:hAnsi="Times New Roman" w:cs="Times New Roman"/>
          <w:sz w:val="24"/>
          <w:szCs w:val="24"/>
        </w:rPr>
        <w:t xml:space="preserve"> </w:t>
      </w:r>
    </w:p>
    <w:p w14:paraId="149EC5FB" w14:textId="1D0F4CC0" w:rsidR="00D82796" w:rsidRPr="001F03FD" w:rsidRDefault="00F87A92" w:rsidP="003A53E4">
      <w:pPr>
        <w:widowControl w:val="0"/>
        <w:spacing w:after="0" w:line="240" w:lineRule="auto"/>
        <w:ind w:left="425"/>
        <w:rPr>
          <w:rFonts w:ascii="Times New Roman" w:hAnsi="Times New Roman" w:cs="Times New Roman"/>
          <w:sz w:val="24"/>
          <w:szCs w:val="24"/>
        </w:rPr>
      </w:pPr>
      <w:r w:rsidRPr="001F03FD">
        <w:rPr>
          <w:rFonts w:ascii="Times New Roman" w:hAnsi="Times New Roman" w:cs="Times New Roman"/>
          <w:i/>
          <w:iCs/>
          <w:sz w:val="24"/>
          <w:szCs w:val="24"/>
        </w:rPr>
        <w:t>Correo:</w:t>
      </w:r>
      <w:r w:rsidRPr="001F03FD">
        <w:rPr>
          <w:rFonts w:ascii="Times New Roman" w:hAnsi="Times New Roman" w:cs="Times New Roman"/>
          <w:sz w:val="24"/>
          <w:szCs w:val="24"/>
        </w:rPr>
        <w:t xml:space="preserve"> </w:t>
      </w:r>
      <w:hyperlink r:id="rId11" w:history="1">
        <w:r w:rsidRPr="001F03FD">
          <w:rPr>
            <w:rFonts w:ascii="Times New Roman" w:hAnsi="Times New Roman" w:cs="Times New Roman"/>
            <w:sz w:val="24"/>
            <w:szCs w:val="24"/>
          </w:rPr>
          <w:t>perezjimenezclay@gmail.com</w:t>
        </w:r>
      </w:hyperlink>
    </w:p>
    <w:p w14:paraId="267DE2E3" w14:textId="66BAF3F7" w:rsidR="00F87A92" w:rsidRPr="001F03FD" w:rsidRDefault="00726B95" w:rsidP="003A53E4">
      <w:pPr>
        <w:widowControl w:val="0"/>
        <w:spacing w:after="0" w:line="240" w:lineRule="auto"/>
        <w:ind w:left="425"/>
        <w:rPr>
          <w:rFonts w:ascii="Times New Roman" w:hAnsi="Times New Roman" w:cs="Times New Roman"/>
          <w:sz w:val="24"/>
          <w:szCs w:val="24"/>
        </w:rPr>
      </w:pPr>
      <w:proofErr w:type="spellStart"/>
      <w:r w:rsidRPr="001F03FD">
        <w:rPr>
          <w:rFonts w:ascii="Times New Roman" w:hAnsi="Times New Roman" w:cs="Times New Roman"/>
          <w:i/>
          <w:iCs/>
          <w:sz w:val="24"/>
          <w:szCs w:val="24"/>
        </w:rPr>
        <w:t>O</w:t>
      </w:r>
      <w:r w:rsidR="00F87A92" w:rsidRPr="001F03FD">
        <w:rPr>
          <w:rFonts w:ascii="Times New Roman" w:hAnsi="Times New Roman" w:cs="Times New Roman"/>
          <w:i/>
          <w:iCs/>
          <w:sz w:val="24"/>
          <w:szCs w:val="24"/>
        </w:rPr>
        <w:t>rcid</w:t>
      </w:r>
      <w:proofErr w:type="spellEnd"/>
      <w:r w:rsidR="00F87A92" w:rsidRPr="001F03FD">
        <w:rPr>
          <w:rFonts w:ascii="Times New Roman" w:hAnsi="Times New Roman" w:cs="Times New Roman"/>
          <w:i/>
          <w:iCs/>
          <w:sz w:val="24"/>
          <w:szCs w:val="24"/>
        </w:rPr>
        <w:t>.</w:t>
      </w:r>
      <w:r w:rsidR="00F87A92" w:rsidRPr="001F03FD">
        <w:rPr>
          <w:rFonts w:ascii="Times New Roman" w:hAnsi="Times New Roman" w:cs="Times New Roman"/>
          <w:sz w:val="24"/>
          <w:szCs w:val="24"/>
        </w:rPr>
        <w:t xml:space="preserve"> </w:t>
      </w:r>
      <w:hyperlink r:id="rId12" w:history="1">
        <w:r w:rsidR="00F87A92" w:rsidRPr="001F03FD">
          <w:rPr>
            <w:rStyle w:val="Hipervnculo"/>
            <w:rFonts w:ascii="Times New Roman" w:hAnsi="Times New Roman" w:cs="Times New Roman"/>
            <w:sz w:val="24"/>
            <w:szCs w:val="24"/>
          </w:rPr>
          <w:t xml:space="preserve">https://orcid.org/0009-0000-1236-3077    </w:t>
        </w:r>
      </w:hyperlink>
    </w:p>
    <w:p w14:paraId="75E0979E" w14:textId="795F072D" w:rsidR="00F87A92" w:rsidRPr="001F03FD" w:rsidRDefault="00F87A92" w:rsidP="003A53E4">
      <w:pPr>
        <w:widowControl w:val="0"/>
        <w:spacing w:after="0" w:line="240" w:lineRule="auto"/>
        <w:ind w:left="425"/>
        <w:rPr>
          <w:rFonts w:ascii="Times New Roman" w:hAnsi="Times New Roman" w:cs="Times New Roman"/>
          <w:sz w:val="24"/>
          <w:szCs w:val="24"/>
        </w:rPr>
      </w:pPr>
      <w:r w:rsidRPr="001F03FD">
        <w:rPr>
          <w:rFonts w:ascii="Times New Roman" w:hAnsi="Times New Roman" w:cs="Times New Roman"/>
          <w:sz w:val="24"/>
          <w:szCs w:val="24"/>
        </w:rPr>
        <w:t xml:space="preserve">Universidad de Camagüey Ignacio Agramonte, Centro de Estudio en Ciencias de la   </w:t>
      </w:r>
    </w:p>
    <w:p w14:paraId="306F8C33" w14:textId="1DD75A80" w:rsidR="00F87A92" w:rsidRPr="001F03FD" w:rsidRDefault="00F87A92" w:rsidP="003A53E4">
      <w:pPr>
        <w:widowControl w:val="0"/>
        <w:spacing w:after="0" w:line="240" w:lineRule="auto"/>
        <w:ind w:left="425"/>
        <w:rPr>
          <w:rFonts w:ascii="Times New Roman" w:hAnsi="Times New Roman" w:cs="Times New Roman"/>
          <w:sz w:val="24"/>
          <w:szCs w:val="24"/>
        </w:rPr>
      </w:pPr>
      <w:r w:rsidRPr="001F03FD">
        <w:rPr>
          <w:rFonts w:ascii="Times New Roman" w:hAnsi="Times New Roman" w:cs="Times New Roman"/>
          <w:sz w:val="24"/>
          <w:szCs w:val="24"/>
        </w:rPr>
        <w:t>Educación, Cuba</w:t>
      </w:r>
    </w:p>
    <w:p w14:paraId="1FAA00B0" w14:textId="15E1461B" w:rsidR="00054E02" w:rsidRDefault="00054E02" w:rsidP="00F87A92">
      <w:pPr>
        <w:widowControl w:val="0"/>
        <w:spacing w:after="240"/>
        <w:rPr>
          <w:rFonts w:ascii="Times New Roman" w:hAnsi="Times New Roman" w:cs="Times New Roman"/>
          <w:sz w:val="24"/>
          <w:szCs w:val="24"/>
        </w:rPr>
      </w:pPr>
    </w:p>
    <w:tbl>
      <w:tblPr>
        <w:tblStyle w:val="Tablaconcuadrcula"/>
        <w:tblpPr w:leftFromText="180" w:rightFromText="180" w:vertAnchor="text" w:horzAnchor="margin" w:tblpXSpec="center" w:tblpY="2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21"/>
        <w:gridCol w:w="2922"/>
        <w:gridCol w:w="2922"/>
      </w:tblGrid>
      <w:tr w:rsidR="00054E02" w14:paraId="06CD732A" w14:textId="77777777" w:rsidTr="00800BF4">
        <w:trPr>
          <w:trHeight w:val="349"/>
        </w:trPr>
        <w:tc>
          <w:tcPr>
            <w:tcW w:w="2921" w:type="dxa"/>
            <w:shd w:val="clear" w:color="auto" w:fill="00B0F0"/>
          </w:tcPr>
          <w:p w14:paraId="57E915CF" w14:textId="77777777" w:rsidR="00054E02" w:rsidRDefault="00F4223A">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Recibido</w:t>
            </w:r>
          </w:p>
        </w:tc>
        <w:tc>
          <w:tcPr>
            <w:tcW w:w="2922" w:type="dxa"/>
            <w:shd w:val="clear" w:color="auto" w:fill="00B0F0"/>
          </w:tcPr>
          <w:p w14:paraId="23F6970B" w14:textId="77777777" w:rsidR="00054E02" w:rsidRDefault="00F4223A">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Aprobado</w:t>
            </w:r>
          </w:p>
        </w:tc>
        <w:tc>
          <w:tcPr>
            <w:tcW w:w="2922" w:type="dxa"/>
            <w:shd w:val="clear" w:color="auto" w:fill="00B0F0"/>
          </w:tcPr>
          <w:p w14:paraId="460D499A" w14:textId="77777777" w:rsidR="00054E02" w:rsidRDefault="00F4223A">
            <w:pPr>
              <w:widowControl w:val="0"/>
              <w:spacing w:after="0" w:line="240" w:lineRule="auto"/>
              <w:jc w:val="center"/>
              <w:rPr>
                <w:rFonts w:ascii="Times New Roman" w:hAnsi="Times New Roman" w:cs="Times New Roman"/>
                <w:b/>
                <w:sz w:val="24"/>
              </w:rPr>
            </w:pPr>
            <w:r>
              <w:rPr>
                <w:rFonts w:ascii="Times New Roman" w:hAnsi="Times New Roman" w:cs="Times New Roman"/>
                <w:b/>
                <w:sz w:val="24"/>
              </w:rPr>
              <w:t>Publicado</w:t>
            </w:r>
          </w:p>
        </w:tc>
      </w:tr>
      <w:tr w:rsidR="00800BF4" w14:paraId="6857C322" w14:textId="77777777" w:rsidTr="00800BF4">
        <w:trPr>
          <w:trHeight w:val="349"/>
        </w:trPr>
        <w:tc>
          <w:tcPr>
            <w:tcW w:w="2921" w:type="dxa"/>
          </w:tcPr>
          <w:p w14:paraId="27B033B6" w14:textId="2AEAB7DE" w:rsidR="00800BF4" w:rsidRPr="00800BF4" w:rsidRDefault="00800BF4">
            <w:pPr>
              <w:widowControl w:val="0"/>
              <w:spacing w:after="0" w:line="240" w:lineRule="auto"/>
              <w:jc w:val="center"/>
              <w:rPr>
                <w:rFonts w:ascii="Times New Roman" w:hAnsi="Times New Roman" w:cs="Times New Roman"/>
                <w:bCs/>
                <w:sz w:val="24"/>
              </w:rPr>
            </w:pPr>
            <w:r w:rsidRPr="00800BF4">
              <w:rPr>
                <w:rFonts w:ascii="Times New Roman" w:hAnsi="Times New Roman" w:cs="Times New Roman"/>
                <w:bCs/>
                <w:sz w:val="24"/>
              </w:rPr>
              <w:t>12 de noviembre de 2025</w:t>
            </w:r>
          </w:p>
        </w:tc>
        <w:tc>
          <w:tcPr>
            <w:tcW w:w="2922" w:type="dxa"/>
          </w:tcPr>
          <w:p w14:paraId="2DBC9486" w14:textId="29A72DE5" w:rsidR="00800BF4" w:rsidRPr="00800BF4" w:rsidRDefault="00800BF4">
            <w:pPr>
              <w:widowControl w:val="0"/>
              <w:spacing w:after="0" w:line="240" w:lineRule="auto"/>
              <w:jc w:val="center"/>
              <w:rPr>
                <w:rFonts w:ascii="Times New Roman" w:hAnsi="Times New Roman" w:cs="Times New Roman"/>
                <w:bCs/>
                <w:sz w:val="24"/>
              </w:rPr>
            </w:pPr>
            <w:r w:rsidRPr="00800BF4">
              <w:rPr>
                <w:rFonts w:ascii="Times New Roman" w:hAnsi="Times New Roman" w:cs="Times New Roman"/>
                <w:bCs/>
                <w:sz w:val="24"/>
              </w:rPr>
              <w:t>6 de enero de 2026</w:t>
            </w:r>
          </w:p>
        </w:tc>
        <w:tc>
          <w:tcPr>
            <w:tcW w:w="2922" w:type="dxa"/>
          </w:tcPr>
          <w:p w14:paraId="369AB67E" w14:textId="207E22D4" w:rsidR="00800BF4" w:rsidRPr="00800BF4" w:rsidRDefault="00800BF4">
            <w:pPr>
              <w:widowControl w:val="0"/>
              <w:spacing w:after="0" w:line="240" w:lineRule="auto"/>
              <w:jc w:val="center"/>
              <w:rPr>
                <w:rFonts w:ascii="Times New Roman" w:hAnsi="Times New Roman" w:cs="Times New Roman"/>
                <w:bCs/>
                <w:sz w:val="24"/>
              </w:rPr>
            </w:pPr>
            <w:r w:rsidRPr="00800BF4">
              <w:rPr>
                <w:rFonts w:ascii="Times New Roman" w:hAnsi="Times New Roman" w:cs="Times New Roman"/>
                <w:bCs/>
                <w:sz w:val="24"/>
              </w:rPr>
              <w:t>10 de enero de 2026</w:t>
            </w:r>
          </w:p>
        </w:tc>
      </w:tr>
    </w:tbl>
    <w:p w14:paraId="1033C422" w14:textId="77777777" w:rsidR="003A53E4" w:rsidRDefault="003A53E4">
      <w:pPr>
        <w:widowControl w:val="0"/>
        <w:spacing w:line="360" w:lineRule="auto"/>
        <w:rPr>
          <w:rFonts w:ascii="Times New Roman" w:eastAsia="Calibri" w:hAnsi="Times New Roman" w:cs="Times New Roman"/>
          <w:b/>
          <w:bCs/>
          <w:sz w:val="28"/>
          <w:szCs w:val="24"/>
        </w:rPr>
      </w:pPr>
    </w:p>
    <w:p w14:paraId="78FB4EA5" w14:textId="780919E8" w:rsidR="00054E02" w:rsidRDefault="00F4223A">
      <w:pPr>
        <w:widowControl w:val="0"/>
        <w:spacing w:line="360" w:lineRule="auto"/>
        <w:rPr>
          <w:rFonts w:ascii="Times New Roman" w:eastAsia="Calibri" w:hAnsi="Times New Roman" w:cs="Times New Roman"/>
          <w:b/>
          <w:bCs/>
          <w:sz w:val="28"/>
          <w:szCs w:val="24"/>
        </w:rPr>
      </w:pPr>
      <w:r>
        <w:rPr>
          <w:rFonts w:ascii="Times New Roman" w:eastAsia="Calibri" w:hAnsi="Times New Roman" w:cs="Times New Roman"/>
          <w:b/>
          <w:bCs/>
          <w:sz w:val="28"/>
          <w:szCs w:val="24"/>
        </w:rPr>
        <w:lastRenderedPageBreak/>
        <w:t xml:space="preserve">Resumen </w:t>
      </w:r>
    </w:p>
    <w:p w14:paraId="03EF2A23" w14:textId="74CD77E4" w:rsidR="00C065AA" w:rsidRPr="00FC3E1B" w:rsidRDefault="00C065AA" w:rsidP="00995F8E">
      <w:pPr>
        <w:widowControl w:val="0"/>
        <w:spacing w:line="360" w:lineRule="auto"/>
        <w:jc w:val="both"/>
        <w:rPr>
          <w:rFonts w:ascii="Times New Roman" w:eastAsia="Calibri" w:hAnsi="Times New Roman"/>
          <w:sz w:val="24"/>
          <w:szCs w:val="24"/>
          <w:lang w:val="es-ES_tradnl"/>
        </w:rPr>
      </w:pPr>
      <w:r w:rsidRPr="00FC3E1B">
        <w:rPr>
          <w:rFonts w:ascii="Times New Roman" w:eastAsia="Calibri" w:hAnsi="Times New Roman"/>
          <w:sz w:val="24"/>
          <w:szCs w:val="24"/>
          <w:lang w:val="es-ES_tradnl"/>
        </w:rPr>
        <w:t xml:space="preserve">La atención a educandos con Trastorno por Déficit de Atención e Hiperactividad (TDAH) representa un reto para los pedagogos de los Centros de Diagnóstico y Orientación (CDO), quienes necesitan de una superación profesional que incorpore principios de la neuroeducación en el proceso de orientación y seguimiento. El objetivo estuvo dirigido a implementar una estrategia de superación profesional dirigida a los pedagogos del CDO para el tratamiento </w:t>
      </w:r>
      <w:proofErr w:type="spellStart"/>
      <w:r w:rsidRPr="00FC3E1B">
        <w:rPr>
          <w:rFonts w:ascii="Times New Roman" w:eastAsia="Calibri" w:hAnsi="Times New Roman"/>
          <w:sz w:val="24"/>
          <w:szCs w:val="24"/>
          <w:lang w:val="es-ES_tradnl"/>
        </w:rPr>
        <w:t>neuroeducativo</w:t>
      </w:r>
      <w:proofErr w:type="spellEnd"/>
      <w:r w:rsidRPr="00FC3E1B">
        <w:rPr>
          <w:rFonts w:ascii="Times New Roman" w:eastAsia="Calibri" w:hAnsi="Times New Roman"/>
          <w:sz w:val="24"/>
          <w:szCs w:val="24"/>
          <w:lang w:val="es-ES_tradnl"/>
        </w:rPr>
        <w:t xml:space="preserve"> del TDAH. Se aplicó un enfoque mixto de investigación con predominio cualitativo, utilizando métodos teóricos (histórico-lógico, análisis documental, modelación) y empíricos (encuesta, observación, prueba pedagógica, talleres de opinión crítica y </w:t>
      </w:r>
      <w:proofErr w:type="spellStart"/>
      <w:r w:rsidRPr="00FC3E1B">
        <w:rPr>
          <w:rFonts w:ascii="Times New Roman" w:eastAsia="Calibri" w:hAnsi="Times New Roman"/>
          <w:sz w:val="24"/>
          <w:szCs w:val="24"/>
          <w:lang w:val="es-ES_tradnl"/>
        </w:rPr>
        <w:t>pre-experimento</w:t>
      </w:r>
      <w:proofErr w:type="spellEnd"/>
      <w:r w:rsidRPr="00FC3E1B">
        <w:rPr>
          <w:rFonts w:ascii="Times New Roman" w:eastAsia="Calibri" w:hAnsi="Times New Roman"/>
          <w:sz w:val="24"/>
          <w:szCs w:val="24"/>
          <w:lang w:val="es-ES_tradnl"/>
        </w:rPr>
        <w:t xml:space="preserve">). La muestra incluyó 15 pedagogos de la provincia de Camagüey, Cuba. Se identificaron insuficiencias en conocimientos teórico-metodológicos sobre neuroeducación y su aplicación al TDAH. Se diseñó e implementó una estrategia de superación en cuatro etapas: diagnóstico, sensibilización, ejecución y evaluación, que integró núcleos teóricos y prácticos para la comprensión neurobiológica del trastorno y el diseño de estrategias fundamentadas de orientación. La estrategia mostró efectividad al mejorar el desempeño profesional de los pedagogos, incrementando significativamente sus conocimientos y habilidades en la atención </w:t>
      </w:r>
      <w:proofErr w:type="spellStart"/>
      <w:r w:rsidRPr="00FC3E1B">
        <w:rPr>
          <w:rFonts w:ascii="Times New Roman" w:eastAsia="Calibri" w:hAnsi="Times New Roman"/>
          <w:sz w:val="24"/>
          <w:szCs w:val="24"/>
          <w:lang w:val="es-ES_tradnl"/>
        </w:rPr>
        <w:t>neuroeducativa</w:t>
      </w:r>
      <w:proofErr w:type="spellEnd"/>
      <w:r w:rsidRPr="00FC3E1B">
        <w:rPr>
          <w:rFonts w:ascii="Times New Roman" w:eastAsia="Calibri" w:hAnsi="Times New Roman"/>
          <w:sz w:val="24"/>
          <w:szCs w:val="24"/>
          <w:lang w:val="es-ES_tradnl"/>
        </w:rPr>
        <w:t xml:space="preserve"> del TDAH durante el proceso de orientación y seguimiento</w:t>
      </w:r>
      <w:r w:rsidR="000E5B71">
        <w:rPr>
          <w:rFonts w:ascii="Times New Roman" w:eastAsia="Calibri" w:hAnsi="Times New Roman"/>
          <w:sz w:val="24"/>
          <w:szCs w:val="24"/>
          <w:lang w:val="es-ES_tradnl"/>
        </w:rPr>
        <w:t>.</w:t>
      </w:r>
    </w:p>
    <w:p w14:paraId="1BFA2AFD" w14:textId="589ACA7B" w:rsidR="00DF1996" w:rsidRDefault="00DF1996" w:rsidP="00995F8E">
      <w:pPr>
        <w:widowControl w:val="0"/>
        <w:spacing w:line="360" w:lineRule="auto"/>
        <w:jc w:val="both"/>
        <w:rPr>
          <w:rFonts w:ascii="Times New Roman" w:eastAsia="Calibri" w:hAnsi="Times New Roman"/>
          <w:sz w:val="24"/>
          <w:szCs w:val="24"/>
          <w:lang w:val="es-MX"/>
        </w:rPr>
      </w:pPr>
      <w:r w:rsidRPr="004517D6">
        <w:rPr>
          <w:rFonts w:ascii="Times New Roman" w:eastAsia="Calibri" w:hAnsi="Times New Roman"/>
          <w:i/>
          <w:iCs/>
          <w:sz w:val="24"/>
          <w:szCs w:val="24"/>
          <w:lang w:val="es-MX"/>
        </w:rPr>
        <w:t>Palabras clave</w:t>
      </w:r>
      <w:r w:rsidRPr="00DF1996">
        <w:rPr>
          <w:rFonts w:ascii="Times New Roman" w:eastAsia="Calibri" w:hAnsi="Times New Roman"/>
          <w:sz w:val="24"/>
          <w:szCs w:val="24"/>
          <w:lang w:val="es-MX"/>
        </w:rPr>
        <w:t>: Neuroeducación; Trastorno por Déficit de Atención e Hiperactividad; Cent</w:t>
      </w:r>
      <w:r w:rsidR="00EC65C2">
        <w:rPr>
          <w:rFonts w:ascii="Times New Roman" w:eastAsia="Calibri" w:hAnsi="Times New Roman"/>
          <w:sz w:val="24"/>
          <w:szCs w:val="24"/>
          <w:lang w:val="es-MX"/>
        </w:rPr>
        <w:t>ro de Diagnóstico y Orientación; Superación Profesional; Orientación y S</w:t>
      </w:r>
      <w:r w:rsidRPr="00DF1996">
        <w:rPr>
          <w:rFonts w:ascii="Times New Roman" w:eastAsia="Calibri" w:hAnsi="Times New Roman"/>
          <w:sz w:val="24"/>
          <w:szCs w:val="24"/>
          <w:lang w:val="es-MX"/>
        </w:rPr>
        <w:t>eguimiento</w:t>
      </w:r>
    </w:p>
    <w:p w14:paraId="73B93A89" w14:textId="319FFE15" w:rsidR="00DF1996" w:rsidRDefault="00DF1996" w:rsidP="00DF1996">
      <w:pPr>
        <w:widowControl w:val="0"/>
        <w:spacing w:line="360" w:lineRule="auto"/>
        <w:jc w:val="both"/>
        <w:rPr>
          <w:rFonts w:ascii="Times New Roman" w:eastAsia="Calibri" w:hAnsi="Times New Roman"/>
          <w:b/>
          <w:bCs/>
          <w:sz w:val="24"/>
          <w:szCs w:val="24"/>
          <w:lang w:val="en-US"/>
        </w:rPr>
      </w:pPr>
      <w:r w:rsidRPr="00DF1996">
        <w:rPr>
          <w:rFonts w:ascii="Times New Roman" w:eastAsia="Calibri" w:hAnsi="Times New Roman"/>
          <w:b/>
          <w:bCs/>
          <w:sz w:val="24"/>
          <w:szCs w:val="24"/>
          <w:lang w:val="en-US"/>
        </w:rPr>
        <w:t>ABSTRACT</w:t>
      </w:r>
    </w:p>
    <w:p w14:paraId="61E32E63" w14:textId="6540A7EF" w:rsidR="00BF5F0E" w:rsidRPr="00216972" w:rsidRDefault="00BF5F0E" w:rsidP="008509B7">
      <w:pPr>
        <w:spacing w:after="200" w:line="360" w:lineRule="auto"/>
        <w:jc w:val="both"/>
        <w:rPr>
          <w:rFonts w:ascii="Times New Roman" w:eastAsia="Calibri" w:hAnsi="Times New Roman"/>
          <w:sz w:val="24"/>
          <w:szCs w:val="24"/>
          <w:lang w:val="en-US"/>
        </w:rPr>
      </w:pPr>
      <w:r w:rsidRPr="00216972">
        <w:rPr>
          <w:rFonts w:ascii="Times New Roman" w:eastAsia="Calibri" w:hAnsi="Times New Roman"/>
          <w:sz w:val="24"/>
          <w:szCs w:val="24"/>
          <w:lang w:val="en-US"/>
        </w:rPr>
        <w:t xml:space="preserve">The attention to students with </w:t>
      </w:r>
      <w:proofErr w:type="gramStart"/>
      <w:r w:rsidRPr="00216972">
        <w:rPr>
          <w:rFonts w:ascii="Times New Roman" w:eastAsia="Calibri" w:hAnsi="Times New Roman"/>
          <w:sz w:val="24"/>
          <w:szCs w:val="24"/>
          <w:lang w:val="en-US"/>
        </w:rPr>
        <w:t>Attention Deficit Hyperactivity Disorder</w:t>
      </w:r>
      <w:proofErr w:type="gramEnd"/>
      <w:r w:rsidRPr="00216972">
        <w:rPr>
          <w:rFonts w:ascii="Times New Roman" w:eastAsia="Calibri" w:hAnsi="Times New Roman"/>
          <w:sz w:val="24"/>
          <w:szCs w:val="24"/>
          <w:lang w:val="en-US"/>
        </w:rPr>
        <w:t xml:space="preserve"> (ADHD) represents a challenge for pedagogues in the Diagnostic and Orientation Centers (CDO), who need professional </w:t>
      </w:r>
      <w:r w:rsidRPr="00216972">
        <w:rPr>
          <w:rFonts w:ascii="Times New Roman" w:eastAsia="Calibri" w:hAnsi="Times New Roman"/>
          <w:sz w:val="24"/>
          <w:szCs w:val="24"/>
          <w:lang w:val="en-US"/>
        </w:rPr>
        <w:lastRenderedPageBreak/>
        <w:t>development that incorporates the principles of neuroeducation in guidance and follow-up. The objective was to implement a professional development strategy aimed at CDO pedagogues for the</w:t>
      </w:r>
      <w:r w:rsidRPr="003A53E4">
        <w:rPr>
          <w:rFonts w:ascii="Times New Roman" w:eastAsia="Calibri" w:hAnsi="Times New Roman"/>
          <w:sz w:val="24"/>
          <w:szCs w:val="24"/>
          <w:lang w:val="en-US"/>
        </w:rPr>
        <w:t xml:space="preserve"> </w:t>
      </w:r>
      <w:proofErr w:type="spellStart"/>
      <w:r w:rsidRPr="00216972">
        <w:rPr>
          <w:rFonts w:ascii="Times New Roman" w:eastAsia="Calibri" w:hAnsi="Times New Roman"/>
          <w:sz w:val="24"/>
          <w:szCs w:val="24"/>
          <w:lang w:val="en-US"/>
        </w:rPr>
        <w:t>neuroeducational</w:t>
      </w:r>
      <w:proofErr w:type="spellEnd"/>
      <w:r w:rsidRPr="00216972">
        <w:rPr>
          <w:rFonts w:ascii="Times New Roman" w:eastAsia="Calibri" w:hAnsi="Times New Roman"/>
          <w:sz w:val="24"/>
          <w:szCs w:val="24"/>
          <w:lang w:val="en-US"/>
        </w:rPr>
        <w:t xml:space="preserve"> treatment of ADHD. A mixed research approach with a qualitative predominance was applied, using theoretical methods (historical-logical, documentary analysis, modeling) and empirical methods (survey, observation, pedagogical test, critical opinion workshops, and pre-experiment). The sample included 15 pedagogues from the province of Camagüey, Cuba. Deficiencies were identified in theoretical-methodological knowledge about neuroeducation and its specific application to ADHD. A professional development strategy was designed and implemented in four stages: diagnosis, sensitization, execution, and evaluation. This strategy integrated theoretical and practical components for the neurobiological understanding of the disorder and the design of well-founded guidance strategies. The strategy proved effective in improving the professional performance of pedagogues, significantly increasing their knowledge and skills in the </w:t>
      </w:r>
      <w:proofErr w:type="spellStart"/>
      <w:r w:rsidRPr="00216972">
        <w:rPr>
          <w:rFonts w:ascii="Times New Roman" w:eastAsia="Calibri" w:hAnsi="Times New Roman"/>
          <w:sz w:val="24"/>
          <w:szCs w:val="24"/>
          <w:lang w:val="en-US"/>
        </w:rPr>
        <w:t>neuroeducational</w:t>
      </w:r>
      <w:proofErr w:type="spellEnd"/>
      <w:r w:rsidRPr="00216972">
        <w:rPr>
          <w:rFonts w:ascii="Times New Roman" w:eastAsia="Calibri" w:hAnsi="Times New Roman"/>
          <w:sz w:val="24"/>
          <w:szCs w:val="24"/>
          <w:lang w:val="en-US"/>
        </w:rPr>
        <w:t xml:space="preserve"> attention to ADHD during the guidance and follow-up process.  </w:t>
      </w:r>
    </w:p>
    <w:p w14:paraId="34A58877" w14:textId="0E18021E" w:rsidR="00DF1996" w:rsidRPr="00DF1996" w:rsidRDefault="00DF1996" w:rsidP="00DF1996">
      <w:pPr>
        <w:widowControl w:val="0"/>
        <w:spacing w:line="360" w:lineRule="auto"/>
        <w:jc w:val="both"/>
        <w:rPr>
          <w:rFonts w:ascii="Times New Roman" w:eastAsia="Calibri" w:hAnsi="Times New Roman"/>
          <w:sz w:val="24"/>
          <w:szCs w:val="24"/>
          <w:lang w:val="en-US"/>
        </w:rPr>
      </w:pPr>
      <w:r w:rsidRPr="004517D6">
        <w:rPr>
          <w:rFonts w:ascii="Times New Roman" w:eastAsia="Calibri" w:hAnsi="Times New Roman"/>
          <w:i/>
          <w:iCs/>
          <w:sz w:val="24"/>
          <w:szCs w:val="24"/>
          <w:lang w:val="en-US"/>
        </w:rPr>
        <w:t>Keywords:</w:t>
      </w:r>
      <w:r w:rsidRPr="00DF1996">
        <w:rPr>
          <w:rFonts w:ascii="Times New Roman" w:eastAsia="Calibri" w:hAnsi="Times New Roman"/>
          <w:sz w:val="24"/>
          <w:szCs w:val="24"/>
          <w:lang w:val="en-US"/>
        </w:rPr>
        <w:t xml:space="preserve"> Neuroeducation; Attention Deficit Hyperactivity Disorder; Dia</w:t>
      </w:r>
      <w:r w:rsidR="00146DE0">
        <w:rPr>
          <w:rFonts w:ascii="Times New Roman" w:eastAsia="Calibri" w:hAnsi="Times New Roman"/>
          <w:sz w:val="24"/>
          <w:szCs w:val="24"/>
          <w:lang w:val="en-US"/>
        </w:rPr>
        <w:t>gnosis and Orientation Center; Professional Upgrading; O</w:t>
      </w:r>
      <w:r w:rsidRPr="00DF1996">
        <w:rPr>
          <w:rFonts w:ascii="Times New Roman" w:eastAsia="Calibri" w:hAnsi="Times New Roman"/>
          <w:sz w:val="24"/>
          <w:szCs w:val="24"/>
          <w:lang w:val="en-US"/>
        </w:rPr>
        <w:t>rientation and follow-up</w:t>
      </w:r>
    </w:p>
    <w:p w14:paraId="78024326" w14:textId="2A4954D6" w:rsidR="00054E02" w:rsidRDefault="00F4223A">
      <w:pPr>
        <w:widowControl w:val="0"/>
        <w:spacing w:line="360" w:lineRule="auto"/>
        <w:jc w:val="center"/>
        <w:rPr>
          <w:rFonts w:ascii="Times New Roman" w:eastAsia="Calibri" w:hAnsi="Times New Roman" w:cs="Times New Roman"/>
          <w:b/>
          <w:sz w:val="28"/>
          <w:szCs w:val="24"/>
          <w:lang w:val="es-MX"/>
        </w:rPr>
      </w:pPr>
      <w:r>
        <w:rPr>
          <w:rFonts w:ascii="Times New Roman" w:eastAsia="Calibri" w:hAnsi="Times New Roman" w:cs="Times New Roman"/>
          <w:b/>
          <w:sz w:val="28"/>
          <w:szCs w:val="24"/>
          <w:lang w:val="es-MX"/>
        </w:rPr>
        <w:t>INTRODUCCIÓN</w:t>
      </w:r>
    </w:p>
    <w:p w14:paraId="2E5B6A64" w14:textId="77777777"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 xml:space="preserve">El Trastorno por Déficit de Atención e Hiperactividad (TDAH) constituye uno de los trastornos del neurodesarrollo de mayor prevalencia en la edad escolar, caracterizado por un patrón persistente de inatención, hiperactividad e impulsividad que interfiere con el funcionamiento y desarrollo del individuo (American </w:t>
      </w:r>
      <w:proofErr w:type="spellStart"/>
      <w:r w:rsidRPr="00DF1996">
        <w:rPr>
          <w:rFonts w:ascii="Times New Roman" w:eastAsia="Calibri" w:hAnsi="Times New Roman"/>
          <w:sz w:val="24"/>
          <w:szCs w:val="24"/>
          <w:lang w:val="es-MX"/>
        </w:rPr>
        <w:t>Psychiatric</w:t>
      </w:r>
      <w:proofErr w:type="spellEnd"/>
      <w:r w:rsidRPr="00DF1996">
        <w:rPr>
          <w:rFonts w:ascii="Times New Roman" w:eastAsia="Calibri" w:hAnsi="Times New Roman"/>
          <w:sz w:val="24"/>
          <w:szCs w:val="24"/>
          <w:lang w:val="es-MX"/>
        </w:rPr>
        <w:t xml:space="preserve"> </w:t>
      </w:r>
      <w:proofErr w:type="spellStart"/>
      <w:r w:rsidRPr="00DF1996">
        <w:rPr>
          <w:rFonts w:ascii="Times New Roman" w:eastAsia="Calibri" w:hAnsi="Times New Roman"/>
          <w:sz w:val="24"/>
          <w:szCs w:val="24"/>
          <w:lang w:val="es-MX"/>
        </w:rPr>
        <w:t>Association</w:t>
      </w:r>
      <w:proofErr w:type="spellEnd"/>
      <w:r w:rsidRPr="00DF1996">
        <w:rPr>
          <w:rFonts w:ascii="Times New Roman" w:eastAsia="Calibri" w:hAnsi="Times New Roman"/>
          <w:sz w:val="24"/>
          <w:szCs w:val="24"/>
          <w:lang w:val="es-MX"/>
        </w:rPr>
        <w:t xml:space="preserve">, 2022). En el contexto educativo cubano, la atención a escolares con TDAH ha sido objeto de creciente interés investigativo, reconociéndose la necesidad de un enfoque integral y multidisciplinario que garantice prácticas inclusivas y el </w:t>
      </w:r>
      <w:r w:rsidRPr="00DF1996">
        <w:rPr>
          <w:rFonts w:ascii="Times New Roman" w:eastAsia="Calibri" w:hAnsi="Times New Roman"/>
          <w:sz w:val="24"/>
          <w:szCs w:val="24"/>
          <w:lang w:val="es-MX"/>
        </w:rPr>
        <w:lastRenderedPageBreak/>
        <w:t>desarrollo multilateral de su personalidad (Jiménez García, Perdomo Blanco y Sánchez León, 2024). El sistema educativo nacional, en el marco del Tercer Perfeccionamiento del Ministerio de Educación (MINED), enfatiza la protección y garantía de los derechos de las personas con necesidades educativas especiales (NEE), asociadas o no a discapacidad, lo que exige de profesionales altamente calificados para responder a la diversidad.</w:t>
      </w:r>
    </w:p>
    <w:p w14:paraId="0F07BAC7" w14:textId="77777777"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Los Centros de Diagnóstico y Orientación (CDO) desempeñan una función medular en este entramado institucional. Concebidos como equipos multidisciplinarios con carácter científico, metodológico, preventivo y continuo, tienen como misión garantizar un proceso de diagnóstico con calidad y enfoque preventivo, en sus etapas de orientación, seguimiento y evaluación especializada (Mesa, 2006). El proceso de orientación y seguimiento constituye su actividad rectora, dirigida a asesorar a docentes, directivos y familias para optimizar la respuesta educativa a la diversidad. Dentro de este proceso, la atención a educandos con TDAH adquiere particular relevancia, dada la complejidad de sus manifestaciones y la necesidad de estrategias específicas que trascienden el abordaje pedagógico tradicional.</w:t>
      </w:r>
    </w:p>
    <w:p w14:paraId="13F3CD41" w14:textId="25BE99D2"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En este contexto, la neuroeducación emerge como un campo interdisciplinario de gran potencial. Al integrar los aportes de la neurociencia, la psicología cognitiva y la pedagogía, permite comprender las bases neurobiológicas del aprendizaje, la atención, la memoria y las funciones ejecutivas, procesos todos ellos im</w:t>
      </w:r>
      <w:r w:rsidR="002D532A">
        <w:rPr>
          <w:rFonts w:ascii="Times New Roman" w:eastAsia="Calibri" w:hAnsi="Times New Roman"/>
          <w:sz w:val="24"/>
          <w:szCs w:val="24"/>
          <w:lang w:val="es-MX"/>
        </w:rPr>
        <w:t>plicados en el TDAH (</w:t>
      </w:r>
      <w:proofErr w:type="spellStart"/>
      <w:r w:rsidRPr="00DF1996">
        <w:rPr>
          <w:rFonts w:ascii="Times New Roman" w:eastAsia="Calibri" w:hAnsi="Times New Roman"/>
          <w:sz w:val="24"/>
          <w:szCs w:val="24"/>
          <w:lang w:val="es-MX"/>
        </w:rPr>
        <w:t>Forés</w:t>
      </w:r>
      <w:proofErr w:type="spellEnd"/>
      <w:r w:rsidRPr="00DF1996">
        <w:rPr>
          <w:rFonts w:ascii="Times New Roman" w:eastAsia="Calibri" w:hAnsi="Times New Roman"/>
          <w:sz w:val="24"/>
          <w:szCs w:val="24"/>
          <w:lang w:val="es-MX"/>
        </w:rPr>
        <w:t>,</w:t>
      </w:r>
      <w:r w:rsidR="00D37F85">
        <w:rPr>
          <w:rFonts w:ascii="Times New Roman" w:eastAsia="Calibri" w:hAnsi="Times New Roman"/>
          <w:sz w:val="24"/>
          <w:szCs w:val="24"/>
          <w:lang w:val="es-MX"/>
        </w:rPr>
        <w:t xml:space="preserve"> 2021). Guillen (2017</w:t>
      </w:r>
      <w:proofErr w:type="gramStart"/>
      <w:r w:rsidR="00D37F85">
        <w:rPr>
          <w:rFonts w:ascii="Times New Roman" w:eastAsia="Calibri" w:hAnsi="Times New Roman"/>
          <w:sz w:val="24"/>
          <w:szCs w:val="24"/>
          <w:lang w:val="es-MX"/>
        </w:rPr>
        <w:t>)  destaca</w:t>
      </w:r>
      <w:proofErr w:type="gramEnd"/>
      <w:r w:rsidRPr="00DF1996">
        <w:rPr>
          <w:rFonts w:ascii="Times New Roman" w:eastAsia="Calibri" w:hAnsi="Times New Roman"/>
          <w:sz w:val="24"/>
          <w:szCs w:val="24"/>
          <w:lang w:val="es-MX"/>
        </w:rPr>
        <w:t xml:space="preserve"> la importancia de aplicar estos conocimientos para el diseño de estrategias educativas más efectivas, particularmente en poblaciones con necesidades específicas. Investigaciones recientes en el contexto cubano han comenzado a explorar enfoques innovadores, como la estimulación sensorial y las prácticas desde la perspectiva de la neurodiversidad para el trabajo con estudiantes diagnosticados con TDAH (Network Cuba-UK, 2025), así como propuestas de ejercicios </w:t>
      </w:r>
      <w:r w:rsidRPr="00DF1996">
        <w:rPr>
          <w:rFonts w:ascii="Times New Roman" w:eastAsia="Calibri" w:hAnsi="Times New Roman"/>
          <w:sz w:val="24"/>
          <w:szCs w:val="24"/>
          <w:lang w:val="es-MX"/>
        </w:rPr>
        <w:lastRenderedPageBreak/>
        <w:t>psicopedagógicos para el desarrollo de la atención en adolescentes (Monal Rodríguez, 2016).</w:t>
      </w:r>
    </w:p>
    <w:p w14:paraId="64493470" w14:textId="5007903F"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 xml:space="preserve">Sin embargo, a pesar de estos avances, se identifica un vacío en la preparación específica de los pedagogos que laboran en los CDO para integrar los principios </w:t>
      </w:r>
      <w:proofErr w:type="spellStart"/>
      <w:r w:rsidRPr="00DF1996">
        <w:rPr>
          <w:rFonts w:ascii="Times New Roman" w:eastAsia="Calibri" w:hAnsi="Times New Roman"/>
          <w:sz w:val="24"/>
          <w:szCs w:val="24"/>
          <w:lang w:val="es-MX"/>
        </w:rPr>
        <w:t>neuroeducativos</w:t>
      </w:r>
      <w:proofErr w:type="spellEnd"/>
      <w:r w:rsidRPr="00DF1996">
        <w:rPr>
          <w:rFonts w:ascii="Times New Roman" w:eastAsia="Calibri" w:hAnsi="Times New Roman"/>
          <w:sz w:val="24"/>
          <w:szCs w:val="24"/>
          <w:lang w:val="es-MX"/>
        </w:rPr>
        <w:t xml:space="preserve"> en el proceso de orientación y seguimiento de educandos con TDAH. La literatura científica evidencia estudios sobre superación profesional en el á</w:t>
      </w:r>
      <w:r w:rsidR="003866F6">
        <w:rPr>
          <w:rFonts w:ascii="Times New Roman" w:eastAsia="Calibri" w:hAnsi="Times New Roman"/>
          <w:sz w:val="24"/>
          <w:szCs w:val="24"/>
          <w:lang w:val="es-MX"/>
        </w:rPr>
        <w:t>mbito educativo (</w:t>
      </w:r>
      <w:r w:rsidRPr="00DF1996">
        <w:rPr>
          <w:rFonts w:ascii="Times New Roman" w:eastAsia="Calibri" w:hAnsi="Times New Roman"/>
          <w:sz w:val="24"/>
          <w:szCs w:val="24"/>
          <w:lang w:val="es-MX"/>
        </w:rPr>
        <w:t xml:space="preserve">González, 2020) y sobre neuroeducación en contextos de aula (Varas et al., 2024), pero no se encontraron investigaciones que aborden de manera específica la superación de los pedagogos del CDO en el tratamiento </w:t>
      </w:r>
      <w:proofErr w:type="spellStart"/>
      <w:r w:rsidRPr="00DF1996">
        <w:rPr>
          <w:rFonts w:ascii="Times New Roman" w:eastAsia="Calibri" w:hAnsi="Times New Roman"/>
          <w:sz w:val="24"/>
          <w:szCs w:val="24"/>
          <w:lang w:val="es-MX"/>
        </w:rPr>
        <w:t>neuroeducativo</w:t>
      </w:r>
      <w:proofErr w:type="spellEnd"/>
      <w:r w:rsidRPr="00DF1996">
        <w:rPr>
          <w:rFonts w:ascii="Times New Roman" w:eastAsia="Calibri" w:hAnsi="Times New Roman"/>
          <w:sz w:val="24"/>
          <w:szCs w:val="24"/>
          <w:lang w:val="es-MX"/>
        </w:rPr>
        <w:t xml:space="preserve"> del TDAH para el proceso de orientación y seguimiento.</w:t>
      </w:r>
    </w:p>
    <w:p w14:paraId="71FC619F" w14:textId="77777777"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Investigaciones precedentes en el contexto del CDO han abordado otras aristas de la superación de sus especialistas. Gómez (2019) trabajó la superación del trabajador social para la orientación familiar en educandos con disfasia; González (2021) abordó la superación del psicólogo en la atención educativa a educandos con TDAH; y Arrieta (2023) profundizó en el conocimiento de la Genética Médica para el diagnóstico psicopedagógico. No obstante, ninguna de estas investigaciones se centró en la figura del pedagogo ni en la integración de la neuroeducación como eje articulador de la atención al TDAH.</w:t>
      </w:r>
    </w:p>
    <w:p w14:paraId="21841BA7" w14:textId="77777777"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t xml:space="preserve">La experiencia práctica del autor y un diagnóstico preliminar realizado a los pedagogos de los CDO de la provincia de Camagüey revelaron insuficiencias significativas: desconocimiento de los fundamentos neurobiológicos del TDAH, limitaciones para aplicar principios </w:t>
      </w:r>
      <w:proofErr w:type="spellStart"/>
      <w:r w:rsidRPr="00DF1996">
        <w:rPr>
          <w:rFonts w:ascii="Times New Roman" w:eastAsia="Calibri" w:hAnsi="Times New Roman"/>
          <w:sz w:val="24"/>
          <w:szCs w:val="24"/>
          <w:lang w:val="es-MX"/>
        </w:rPr>
        <w:t>neuroeducativos</w:t>
      </w:r>
      <w:proofErr w:type="spellEnd"/>
      <w:r w:rsidRPr="00DF1996">
        <w:rPr>
          <w:rFonts w:ascii="Times New Roman" w:eastAsia="Calibri" w:hAnsi="Times New Roman"/>
          <w:sz w:val="24"/>
          <w:szCs w:val="24"/>
          <w:lang w:val="es-MX"/>
        </w:rPr>
        <w:t xml:space="preserve"> en la orientación a docentes y familias, dificultades para diseñar estrategias de intervención basadas en evidencias, y poca efectividad en el seguimiento de estos educandos. Estas carencias limitan la calidad del proceso de orientación y seguimiento que ofrecen y, en última instancia, afectan el desarrollo de los escolares con TDAH.</w:t>
      </w:r>
    </w:p>
    <w:p w14:paraId="0D2D0ADB" w14:textId="70BE1222" w:rsidR="00DF1996" w:rsidRPr="00DF1996" w:rsidRDefault="00DF1996" w:rsidP="00DF1996">
      <w:pPr>
        <w:widowControl w:val="0"/>
        <w:spacing w:line="360" w:lineRule="auto"/>
        <w:jc w:val="both"/>
        <w:rPr>
          <w:rFonts w:ascii="Times New Roman" w:eastAsia="Calibri" w:hAnsi="Times New Roman"/>
          <w:sz w:val="24"/>
          <w:szCs w:val="24"/>
          <w:lang w:val="es-MX"/>
        </w:rPr>
      </w:pPr>
      <w:r w:rsidRPr="00DF1996">
        <w:rPr>
          <w:rFonts w:ascii="Times New Roman" w:eastAsia="Calibri" w:hAnsi="Times New Roman"/>
          <w:sz w:val="24"/>
          <w:szCs w:val="24"/>
          <w:lang w:val="es-MX"/>
        </w:rPr>
        <w:lastRenderedPageBreak/>
        <w:t xml:space="preserve">Por lo anterior, la presente investigación se plantea como objetivo: implementar una estrategia de superación profesional dirigida a los pedagogos del CDO para el tratamiento </w:t>
      </w:r>
      <w:proofErr w:type="spellStart"/>
      <w:r w:rsidRPr="00DF1996">
        <w:rPr>
          <w:rFonts w:ascii="Times New Roman" w:eastAsia="Calibri" w:hAnsi="Times New Roman"/>
          <w:sz w:val="24"/>
          <w:szCs w:val="24"/>
          <w:lang w:val="es-MX"/>
        </w:rPr>
        <w:t>neuroeducativo</w:t>
      </w:r>
      <w:proofErr w:type="spellEnd"/>
      <w:r w:rsidRPr="00DF1996">
        <w:rPr>
          <w:rFonts w:ascii="Times New Roman" w:eastAsia="Calibri" w:hAnsi="Times New Roman"/>
          <w:sz w:val="24"/>
          <w:szCs w:val="24"/>
          <w:lang w:val="es-MX"/>
        </w:rPr>
        <w:t xml:space="preserve"> del Trastorno por Déficit de Atención e Hiperactividad en el proceso de orientación y seguimiento.</w:t>
      </w:r>
    </w:p>
    <w:p w14:paraId="18CF2B7F" w14:textId="77777777" w:rsidR="00054E02" w:rsidRDefault="00F4223A">
      <w:pPr>
        <w:widowControl w:val="0"/>
        <w:spacing w:line="360" w:lineRule="auto"/>
        <w:jc w:val="center"/>
        <w:rPr>
          <w:rFonts w:ascii="Times New Roman" w:eastAsia="Calibri" w:hAnsi="Times New Roman" w:cs="Times New Roman"/>
          <w:b/>
          <w:sz w:val="28"/>
          <w:szCs w:val="24"/>
          <w:lang w:val="es-MX"/>
        </w:rPr>
      </w:pPr>
      <w:r>
        <w:rPr>
          <w:rFonts w:ascii="Times New Roman" w:eastAsia="Calibri" w:hAnsi="Times New Roman" w:cs="Times New Roman"/>
          <w:b/>
          <w:sz w:val="28"/>
          <w:szCs w:val="24"/>
          <w:lang w:val="es-MX"/>
        </w:rPr>
        <w:t>DESARROLLO</w:t>
      </w:r>
    </w:p>
    <w:p w14:paraId="56777107" w14:textId="2B52F12F" w:rsidR="007203F5" w:rsidRDefault="00F4223A">
      <w:pPr>
        <w:widowControl w:val="0"/>
        <w:spacing w:line="360" w:lineRule="auto"/>
        <w:jc w:val="both"/>
        <w:rPr>
          <w:rFonts w:ascii="Times New Roman" w:eastAsia="Calibri" w:hAnsi="Times New Roman" w:cs="Times New Roman"/>
          <w:sz w:val="24"/>
          <w:szCs w:val="24"/>
          <w:lang w:val="es-MX"/>
        </w:rPr>
      </w:pPr>
      <w:r>
        <w:rPr>
          <w:rFonts w:ascii="Times New Roman" w:eastAsia="Calibri" w:hAnsi="Times New Roman" w:cs="Times New Roman"/>
          <w:b/>
          <w:sz w:val="24"/>
          <w:szCs w:val="24"/>
          <w:lang w:val="es-MX"/>
        </w:rPr>
        <w:t>Muestra y metodología</w:t>
      </w:r>
    </w:p>
    <w:p w14:paraId="6349A833" w14:textId="7E063485" w:rsidR="007203F5" w:rsidRDefault="007203F5" w:rsidP="00654F06">
      <w:pPr>
        <w:widowControl w:val="0"/>
        <w:spacing w:line="360" w:lineRule="auto"/>
        <w:jc w:val="both"/>
        <w:rPr>
          <w:rFonts w:ascii="Times New Roman" w:eastAsia="Calibri" w:hAnsi="Times New Roman" w:cs="Times New Roman"/>
          <w:sz w:val="24"/>
          <w:szCs w:val="24"/>
          <w:lang w:val="es-MX"/>
        </w:rPr>
      </w:pPr>
      <w:r w:rsidRPr="007203F5">
        <w:rPr>
          <w:rFonts w:ascii="Times New Roman" w:eastAsia="Calibri" w:hAnsi="Times New Roman" w:cs="Times New Roman"/>
          <w:sz w:val="24"/>
          <w:szCs w:val="24"/>
          <w:lang w:val="es-MX"/>
        </w:rPr>
        <w:t xml:space="preserve">La investigación se desarrolló bajo un enfoque mixto, con un diseño predominante cualitativo de tipo investigación-acción participativa. </w:t>
      </w:r>
      <w:r w:rsidR="00956B68">
        <w:rPr>
          <w:rFonts w:ascii="Times New Roman" w:eastAsia="Calibri" w:hAnsi="Times New Roman" w:cs="Times New Roman"/>
          <w:sz w:val="24"/>
          <w:szCs w:val="24"/>
          <w:lang w:val="es-MX"/>
        </w:rPr>
        <w:t xml:space="preserve">Se combinaron métodos cualitativos y cuantitativos, </w:t>
      </w:r>
      <w:r w:rsidR="00654F06">
        <w:rPr>
          <w:rFonts w:ascii="Times New Roman" w:eastAsia="Calibri" w:hAnsi="Times New Roman" w:cs="Times New Roman"/>
          <w:sz w:val="24"/>
          <w:szCs w:val="24"/>
          <w:lang w:val="es-MX"/>
        </w:rPr>
        <w:t>como a</w:t>
      </w:r>
      <w:r w:rsidR="00654F06" w:rsidRPr="00654F06">
        <w:rPr>
          <w:rFonts w:ascii="Times New Roman" w:eastAsia="Calibri" w:hAnsi="Times New Roman" w:cs="Times New Roman"/>
          <w:sz w:val="24"/>
          <w:szCs w:val="24"/>
          <w:lang w:val="es-MX"/>
        </w:rPr>
        <w:t>nálisis documental</w:t>
      </w:r>
      <w:r w:rsidR="00654F06">
        <w:rPr>
          <w:rFonts w:ascii="Times New Roman" w:eastAsia="Calibri" w:hAnsi="Times New Roman" w:cs="Times New Roman"/>
          <w:sz w:val="24"/>
          <w:szCs w:val="24"/>
          <w:lang w:val="es-MX"/>
        </w:rPr>
        <w:t>, e</w:t>
      </w:r>
      <w:r w:rsidR="00654F06" w:rsidRPr="00654F06">
        <w:rPr>
          <w:rFonts w:ascii="Times New Roman" w:eastAsia="Calibri" w:hAnsi="Times New Roman" w:cs="Times New Roman"/>
          <w:sz w:val="24"/>
          <w:szCs w:val="24"/>
          <w:lang w:val="es-MX"/>
        </w:rPr>
        <w:t>ncuesta</w:t>
      </w:r>
      <w:r w:rsidR="00654F06">
        <w:rPr>
          <w:rFonts w:ascii="Times New Roman" w:eastAsia="Calibri" w:hAnsi="Times New Roman" w:cs="Times New Roman"/>
          <w:sz w:val="24"/>
          <w:szCs w:val="24"/>
          <w:lang w:val="es-MX"/>
        </w:rPr>
        <w:t>, o</w:t>
      </w:r>
      <w:r w:rsidR="00654F06" w:rsidRPr="00654F06">
        <w:rPr>
          <w:rFonts w:ascii="Times New Roman" w:eastAsia="Calibri" w:hAnsi="Times New Roman" w:cs="Times New Roman"/>
          <w:sz w:val="24"/>
          <w:szCs w:val="24"/>
          <w:lang w:val="es-MX"/>
        </w:rPr>
        <w:t>bservación científica</w:t>
      </w:r>
      <w:r w:rsidR="00B1043F">
        <w:rPr>
          <w:rFonts w:ascii="Times New Roman" w:eastAsia="Calibri" w:hAnsi="Times New Roman" w:cs="Times New Roman"/>
          <w:sz w:val="24"/>
          <w:szCs w:val="24"/>
          <w:lang w:val="es-MX"/>
        </w:rPr>
        <w:t>, p</w:t>
      </w:r>
      <w:r w:rsidR="00654F06" w:rsidRPr="00654F06">
        <w:rPr>
          <w:rFonts w:ascii="Times New Roman" w:eastAsia="Calibri" w:hAnsi="Times New Roman" w:cs="Times New Roman"/>
          <w:sz w:val="24"/>
          <w:szCs w:val="24"/>
          <w:lang w:val="es-MX"/>
        </w:rPr>
        <w:t>rueba pedagógica</w:t>
      </w:r>
      <w:r w:rsidR="00B1043F">
        <w:rPr>
          <w:rFonts w:ascii="Times New Roman" w:eastAsia="Calibri" w:hAnsi="Times New Roman" w:cs="Times New Roman"/>
          <w:sz w:val="24"/>
          <w:szCs w:val="24"/>
          <w:lang w:val="es-MX"/>
        </w:rPr>
        <w:t>, t</w:t>
      </w:r>
      <w:r w:rsidR="00654F06" w:rsidRPr="00654F06">
        <w:rPr>
          <w:rFonts w:ascii="Times New Roman" w:eastAsia="Calibri" w:hAnsi="Times New Roman" w:cs="Times New Roman"/>
          <w:sz w:val="24"/>
          <w:szCs w:val="24"/>
          <w:lang w:val="es-MX"/>
        </w:rPr>
        <w:t>alleres de opinión crítica y construcción colectiva</w:t>
      </w:r>
      <w:r w:rsidR="00B1043F">
        <w:rPr>
          <w:rFonts w:ascii="Times New Roman" w:eastAsia="Calibri" w:hAnsi="Times New Roman" w:cs="Times New Roman"/>
          <w:sz w:val="24"/>
          <w:szCs w:val="24"/>
          <w:lang w:val="es-MX"/>
        </w:rPr>
        <w:t xml:space="preserve"> y un </w:t>
      </w:r>
      <w:proofErr w:type="spellStart"/>
      <w:r w:rsidR="00B1043F">
        <w:rPr>
          <w:rFonts w:ascii="Times New Roman" w:eastAsia="Calibri" w:hAnsi="Times New Roman" w:cs="Times New Roman"/>
          <w:sz w:val="24"/>
          <w:szCs w:val="24"/>
          <w:lang w:val="es-MX"/>
        </w:rPr>
        <w:t>p</w:t>
      </w:r>
      <w:r w:rsidR="00654F06" w:rsidRPr="00654F06">
        <w:rPr>
          <w:rFonts w:ascii="Times New Roman" w:eastAsia="Calibri" w:hAnsi="Times New Roman" w:cs="Times New Roman"/>
          <w:sz w:val="24"/>
          <w:szCs w:val="24"/>
          <w:lang w:val="es-MX"/>
        </w:rPr>
        <w:t>re-experimento</w:t>
      </w:r>
      <w:proofErr w:type="spellEnd"/>
      <w:r w:rsidR="00654F06" w:rsidRPr="00654F06">
        <w:rPr>
          <w:rFonts w:ascii="Times New Roman" w:eastAsia="Calibri" w:hAnsi="Times New Roman" w:cs="Times New Roman"/>
          <w:sz w:val="24"/>
          <w:szCs w:val="24"/>
          <w:lang w:val="es-MX"/>
        </w:rPr>
        <w:t xml:space="preserve"> pedagógico</w:t>
      </w:r>
      <w:r w:rsidR="00B1043F">
        <w:rPr>
          <w:rFonts w:ascii="Times New Roman" w:eastAsia="Calibri" w:hAnsi="Times New Roman" w:cs="Times New Roman"/>
          <w:sz w:val="24"/>
          <w:szCs w:val="24"/>
          <w:lang w:val="es-MX"/>
        </w:rPr>
        <w:t>. c</w:t>
      </w:r>
      <w:r w:rsidR="00654F06" w:rsidRPr="00654F06">
        <w:rPr>
          <w:rFonts w:ascii="Times New Roman" w:eastAsia="Calibri" w:hAnsi="Times New Roman" w:cs="Times New Roman"/>
          <w:sz w:val="24"/>
          <w:szCs w:val="24"/>
          <w:lang w:val="es-MX"/>
        </w:rPr>
        <w:t xml:space="preserve">on diseño de </w:t>
      </w:r>
      <w:proofErr w:type="spellStart"/>
      <w:r w:rsidR="00654F06" w:rsidRPr="00654F06">
        <w:rPr>
          <w:rFonts w:ascii="Times New Roman" w:eastAsia="Calibri" w:hAnsi="Times New Roman" w:cs="Times New Roman"/>
          <w:sz w:val="24"/>
          <w:szCs w:val="24"/>
          <w:lang w:val="es-MX"/>
        </w:rPr>
        <w:t>pre-test</w:t>
      </w:r>
      <w:proofErr w:type="spellEnd"/>
      <w:r w:rsidR="00654F06" w:rsidRPr="00654F06">
        <w:rPr>
          <w:rFonts w:ascii="Times New Roman" w:eastAsia="Calibri" w:hAnsi="Times New Roman" w:cs="Times New Roman"/>
          <w:sz w:val="24"/>
          <w:szCs w:val="24"/>
          <w:lang w:val="es-MX"/>
        </w:rPr>
        <w:t xml:space="preserve"> y </w:t>
      </w:r>
      <w:proofErr w:type="spellStart"/>
      <w:r w:rsidR="00654F06" w:rsidRPr="00654F06">
        <w:rPr>
          <w:rFonts w:ascii="Times New Roman" w:eastAsia="Calibri" w:hAnsi="Times New Roman" w:cs="Times New Roman"/>
          <w:sz w:val="24"/>
          <w:szCs w:val="24"/>
          <w:lang w:val="es-MX"/>
        </w:rPr>
        <w:t>post-test</w:t>
      </w:r>
      <w:proofErr w:type="spellEnd"/>
      <w:r w:rsidR="00654F06" w:rsidRPr="00654F06">
        <w:rPr>
          <w:rFonts w:ascii="Times New Roman" w:eastAsia="Calibri" w:hAnsi="Times New Roman" w:cs="Times New Roman"/>
          <w:sz w:val="24"/>
          <w:szCs w:val="24"/>
          <w:lang w:val="es-MX"/>
        </w:rPr>
        <w:t xml:space="preserve"> aplicado a un solo grupo, para constatar la efectividad de la estrategia implementada.</w:t>
      </w:r>
      <w:r w:rsidR="00956B68">
        <w:rPr>
          <w:rFonts w:ascii="Times New Roman" w:eastAsia="Calibri" w:hAnsi="Times New Roman" w:cs="Times New Roman"/>
          <w:sz w:val="24"/>
          <w:szCs w:val="24"/>
          <w:lang w:val="es-MX"/>
        </w:rPr>
        <w:t xml:space="preserve"> </w:t>
      </w:r>
      <w:r w:rsidR="00B1043F" w:rsidRPr="00B1043F">
        <w:rPr>
          <w:rFonts w:ascii="Times New Roman" w:eastAsia="Calibri" w:hAnsi="Times New Roman" w:cs="Times New Roman"/>
          <w:sz w:val="24"/>
          <w:szCs w:val="24"/>
          <w:lang w:val="es-MX"/>
        </w:rPr>
        <w:t xml:space="preserve">Los resultados cuantitativos fueron procesados mediante el cálculo porcentual, la media aritmética y la prueba no paramétrica de Kolmogórov-Smirnov para muestras relacionadas, con el apoyo del software SPSS para Windows versión 20.0. </w:t>
      </w:r>
      <w:r w:rsidRPr="007203F5">
        <w:rPr>
          <w:rFonts w:ascii="Times New Roman" w:eastAsia="Calibri" w:hAnsi="Times New Roman" w:cs="Times New Roman"/>
          <w:sz w:val="24"/>
          <w:szCs w:val="24"/>
          <w:lang w:val="es-MX"/>
        </w:rPr>
        <w:t>La población estuvo constituida por la totalidad de pedagogos que laboran en los Centros de Diagnóstico y Orientación de los municipios de la provincia de Camagüey, Cuba. Se seleccionó una muestra intencional conformada por 15 pedagogos, considerando los siguientes criterios de inclusión: ser pedagogos en ejercicio en el CDO, poseer nivel universitario, contar con más de tres años de experiencia profesional en la institución y manifestar disposición a participar en el proceso investigativo.</w:t>
      </w:r>
    </w:p>
    <w:p w14:paraId="0D31A5A3" w14:textId="116AA2A5" w:rsidR="00956B68" w:rsidRDefault="00F4223A" w:rsidP="00DA34D9">
      <w:pPr>
        <w:widowControl w:val="0"/>
        <w:spacing w:line="360" w:lineRule="auto"/>
        <w:rPr>
          <w:rFonts w:ascii="Times New Roman" w:eastAsia="Calibri" w:hAnsi="Times New Roman" w:cs="Times New Roman"/>
          <w:sz w:val="24"/>
          <w:szCs w:val="24"/>
          <w:lang w:val="es-MX"/>
        </w:rPr>
      </w:pPr>
      <w:r>
        <w:rPr>
          <w:rFonts w:ascii="Times New Roman" w:eastAsia="Calibri" w:hAnsi="Times New Roman" w:cs="Times New Roman"/>
          <w:b/>
          <w:sz w:val="24"/>
          <w:szCs w:val="24"/>
          <w:lang w:val="es-MX"/>
        </w:rPr>
        <w:t>Resultados</w:t>
      </w:r>
    </w:p>
    <w:p w14:paraId="56B59DC8" w14:textId="062DE990" w:rsidR="00956B68" w:rsidRP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Diagnóstico inicial (</w:t>
      </w:r>
      <w:proofErr w:type="spellStart"/>
      <w:r w:rsidRPr="00956B68">
        <w:rPr>
          <w:rFonts w:ascii="Times New Roman" w:eastAsia="Calibri" w:hAnsi="Times New Roman" w:cs="Times New Roman"/>
          <w:sz w:val="24"/>
          <w:szCs w:val="24"/>
          <w:lang w:val="es-MX"/>
        </w:rPr>
        <w:t>pre-test</w:t>
      </w:r>
      <w:proofErr w:type="spellEnd"/>
      <w:r w:rsidRPr="00956B68">
        <w:rPr>
          <w:rFonts w:ascii="Times New Roman" w:eastAsia="Calibri" w:hAnsi="Times New Roman" w:cs="Times New Roman"/>
          <w:sz w:val="24"/>
          <w:szCs w:val="24"/>
          <w:lang w:val="es-MX"/>
        </w:rPr>
        <w:t>)</w:t>
      </w:r>
    </w:p>
    <w:p w14:paraId="21024CD2" w14:textId="77777777" w:rsidR="00956B68" w:rsidRP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 xml:space="preserve">La aplicación de los instrumentos en la etapa diagnóstica permitió constatar las siguientes </w:t>
      </w:r>
      <w:r w:rsidRPr="00956B68">
        <w:rPr>
          <w:rFonts w:ascii="Times New Roman" w:eastAsia="Calibri" w:hAnsi="Times New Roman" w:cs="Times New Roman"/>
          <w:sz w:val="24"/>
          <w:szCs w:val="24"/>
          <w:lang w:val="es-MX"/>
        </w:rPr>
        <w:lastRenderedPageBreak/>
        <w:t>insuficiencias en la muestra de 15 pedagogos:</w:t>
      </w:r>
    </w:p>
    <w:p w14:paraId="5B5606CB" w14:textId="77777777" w:rsidR="00956B68" w:rsidRP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 xml:space="preserve">En la dimensión cognitiva, el 66.7% de los pedagogos se ubicó en un nivel bajo, evidenciando desconocimiento de los fundamentos neurobiológicos del TDAH, limitaciones para explicar el papel de las funciones ejecutivas, la atención y la memoria desde una perspectiva neurocientífica, y presencia de </w:t>
      </w:r>
      <w:proofErr w:type="spellStart"/>
      <w:r w:rsidRPr="00956B68">
        <w:rPr>
          <w:rFonts w:ascii="Times New Roman" w:eastAsia="Calibri" w:hAnsi="Times New Roman" w:cs="Times New Roman"/>
          <w:sz w:val="24"/>
          <w:szCs w:val="24"/>
          <w:lang w:val="es-MX"/>
        </w:rPr>
        <w:t>neuromitos</w:t>
      </w:r>
      <w:proofErr w:type="spellEnd"/>
      <w:r w:rsidRPr="00956B68">
        <w:rPr>
          <w:rFonts w:ascii="Times New Roman" w:eastAsia="Calibri" w:hAnsi="Times New Roman" w:cs="Times New Roman"/>
          <w:sz w:val="24"/>
          <w:szCs w:val="24"/>
          <w:lang w:val="es-MX"/>
        </w:rPr>
        <w:t xml:space="preserve"> (concepciones erróneas) sobre el trastorno. Solo el 33.3% alcanzó un nivel medio, y ninguno fue ubicado en nivel alto.</w:t>
      </w:r>
    </w:p>
    <w:p w14:paraId="1BD5335A" w14:textId="77777777" w:rsidR="00956B68" w:rsidRP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 xml:space="preserve">En la dimensión procedimental, el 73.3% mostró un nivel bajo, manifestado en dificultades para diseñar estrategias de orientación a docentes y familias basadas en principios </w:t>
      </w:r>
      <w:proofErr w:type="spellStart"/>
      <w:r w:rsidRPr="00956B68">
        <w:rPr>
          <w:rFonts w:ascii="Times New Roman" w:eastAsia="Calibri" w:hAnsi="Times New Roman" w:cs="Times New Roman"/>
          <w:sz w:val="24"/>
          <w:szCs w:val="24"/>
          <w:lang w:val="es-MX"/>
        </w:rPr>
        <w:t>neuroeducativos</w:t>
      </w:r>
      <w:proofErr w:type="spellEnd"/>
      <w:r w:rsidRPr="00956B68">
        <w:rPr>
          <w:rFonts w:ascii="Times New Roman" w:eastAsia="Calibri" w:hAnsi="Times New Roman" w:cs="Times New Roman"/>
          <w:sz w:val="24"/>
          <w:szCs w:val="24"/>
          <w:lang w:val="es-MX"/>
        </w:rPr>
        <w:t>, limitaciones en la selección de recursos y apoyos específicos para educandos con TDAH, y poca sistematicidad en el seguimiento de estos casos. El 26.7% alcanzó nivel medio, sin presencia de nivel alto.</w:t>
      </w:r>
    </w:p>
    <w:p w14:paraId="27FEBF6A" w14:textId="39F3D82D" w:rsidR="00956B68" w:rsidRP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En la dimensión actitudinal, el 40.0% se ubicó en nivel bajo, evidenciando desmotivación hacia la temática, resistencia a incorporar nuevos enfoques y percepción de la neuroeducación como un conocimiento ajeno a sus funciones. El 60.0% mostró nivel medio, manifestando interés, pero con poca implicación práctica.</w:t>
      </w:r>
    </w:p>
    <w:p w14:paraId="1B306B93" w14:textId="03E9CBA2" w:rsidR="00956B68" w:rsidRDefault="00956B68" w:rsidP="00956B68">
      <w:pPr>
        <w:widowControl w:val="0"/>
        <w:spacing w:line="360" w:lineRule="auto"/>
        <w:jc w:val="both"/>
        <w:rPr>
          <w:rFonts w:ascii="Times New Roman" w:eastAsia="Calibri" w:hAnsi="Times New Roman" w:cs="Times New Roman"/>
          <w:sz w:val="24"/>
          <w:szCs w:val="24"/>
          <w:lang w:val="es-MX"/>
        </w:rPr>
      </w:pPr>
      <w:r w:rsidRPr="00956B68">
        <w:rPr>
          <w:rFonts w:ascii="Times New Roman" w:eastAsia="Calibri" w:hAnsi="Times New Roman" w:cs="Times New Roman"/>
          <w:sz w:val="24"/>
          <w:szCs w:val="24"/>
          <w:lang w:val="es-MX"/>
        </w:rPr>
        <w:t>El análisis documental complementario reveló que los planes de superación de los CDO no incluían temáticas relacionadas con neuroeducación, y que las estrategias educativas diseñadas para educandos con TDAH se basaban fundamentalmente en enfoques conductuales y empíricos, sin fundamentación neurocientífica.</w:t>
      </w:r>
      <w:r>
        <w:rPr>
          <w:rFonts w:ascii="Times New Roman" w:eastAsia="Calibri" w:hAnsi="Times New Roman" w:cs="Times New Roman"/>
          <w:sz w:val="24"/>
          <w:szCs w:val="24"/>
          <w:lang w:val="es-MX"/>
        </w:rPr>
        <w:t xml:space="preserve"> </w:t>
      </w:r>
    </w:p>
    <w:p w14:paraId="7C180401" w14:textId="708F1382" w:rsidR="00D73B32" w:rsidRP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A partir de las necesidades identificadas, se elaboró una estrategia de superación profesional con enfoque sistémico y participativo, estructurada en cuatro etapas interrelacionadas:</w:t>
      </w:r>
    </w:p>
    <w:p w14:paraId="0770C908" w14:textId="77777777" w:rsidR="00D73B32" w:rsidRP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lastRenderedPageBreak/>
        <w:t xml:space="preserve">Etapa 1: Diagnóstico de necesidades y potencialidades. Orientada a caracterizar el estado actual de los pedagogos en relación con el tratamiento </w:t>
      </w:r>
      <w:proofErr w:type="spellStart"/>
      <w:r w:rsidRPr="00D73B32">
        <w:rPr>
          <w:rFonts w:ascii="Times New Roman" w:eastAsia="Calibri" w:hAnsi="Times New Roman" w:cs="Times New Roman"/>
          <w:sz w:val="24"/>
          <w:szCs w:val="24"/>
          <w:lang w:val="es-MX"/>
        </w:rPr>
        <w:t>neuroeducativo</w:t>
      </w:r>
      <w:proofErr w:type="spellEnd"/>
      <w:r w:rsidRPr="00D73B32">
        <w:rPr>
          <w:rFonts w:ascii="Times New Roman" w:eastAsia="Calibri" w:hAnsi="Times New Roman" w:cs="Times New Roman"/>
          <w:sz w:val="24"/>
          <w:szCs w:val="24"/>
          <w:lang w:val="es-MX"/>
        </w:rPr>
        <w:t xml:space="preserve"> del TDAH, identificando fortalezas, debilidades y recursos personales y contextuales. Incluyó la aplicación de instrumentos, observación del desempeño y talleres de autodiagnóstico colectivo.</w:t>
      </w:r>
    </w:p>
    <w:p w14:paraId="54282A05" w14:textId="69868E82" w:rsidR="00D73B32" w:rsidRP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Etapa 2: Sensibilización y concientización. Dirigida a crear un clima motivacional favorable, conectando emocionalmente a los pedagogos con la temática. Se desarrollaron conferencias-taller inaugurales, cine-debates sobre funcionamiento cerebral y TDAH, e intercambios de experiencias iniciales.</w:t>
      </w:r>
    </w:p>
    <w:p w14:paraId="2222160B" w14:textId="77777777" w:rsidR="00E7374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Etapa 3: Ejecución de la superación (apropiación teórico-práctica). Constituyó el núcleo formativo de la estrategia, integrando:</w:t>
      </w:r>
      <w:r>
        <w:rPr>
          <w:rFonts w:ascii="Times New Roman" w:eastAsia="Calibri" w:hAnsi="Times New Roman" w:cs="Times New Roman"/>
          <w:sz w:val="24"/>
          <w:szCs w:val="24"/>
          <w:lang w:val="es-MX"/>
        </w:rPr>
        <w:t xml:space="preserve"> </w:t>
      </w:r>
      <w:r w:rsidRPr="00D73B32">
        <w:rPr>
          <w:rFonts w:ascii="Times New Roman" w:eastAsia="Calibri" w:hAnsi="Times New Roman" w:cs="Times New Roman"/>
          <w:sz w:val="24"/>
          <w:szCs w:val="24"/>
          <w:lang w:val="es-MX"/>
        </w:rPr>
        <w:t xml:space="preserve">Curso básico "Neuroeducación aplicada al TDAH en el proceso de orientación y seguimiento", estructurado en cinco módulos: 1) Neurobiología del TDAH: bases cerebrales de la atención, impulsividad e hiperactividad; 2) Funciones ejecutivas y su relación con el aprendizaje en el TDAH; 3) Emoción, motivación y autorregulación desde la neuroeducación; 4) Estrategias </w:t>
      </w:r>
      <w:proofErr w:type="spellStart"/>
      <w:r w:rsidRPr="00D73B32">
        <w:rPr>
          <w:rFonts w:ascii="Times New Roman" w:eastAsia="Calibri" w:hAnsi="Times New Roman" w:cs="Times New Roman"/>
          <w:sz w:val="24"/>
          <w:szCs w:val="24"/>
          <w:lang w:val="es-MX"/>
        </w:rPr>
        <w:t>neuroeducativas</w:t>
      </w:r>
      <w:proofErr w:type="spellEnd"/>
      <w:r w:rsidRPr="00D73B32">
        <w:rPr>
          <w:rFonts w:ascii="Times New Roman" w:eastAsia="Calibri" w:hAnsi="Times New Roman" w:cs="Times New Roman"/>
          <w:sz w:val="24"/>
          <w:szCs w:val="24"/>
          <w:lang w:val="es-MX"/>
        </w:rPr>
        <w:t xml:space="preserve"> para la orientación a docentes y familias; 5) Derribando </w:t>
      </w:r>
      <w:proofErr w:type="spellStart"/>
      <w:r w:rsidRPr="00D73B32">
        <w:rPr>
          <w:rFonts w:ascii="Times New Roman" w:eastAsia="Calibri" w:hAnsi="Times New Roman" w:cs="Times New Roman"/>
          <w:sz w:val="24"/>
          <w:szCs w:val="24"/>
          <w:lang w:val="es-MX"/>
        </w:rPr>
        <w:t>neuromitos</w:t>
      </w:r>
      <w:proofErr w:type="spellEnd"/>
      <w:r w:rsidRPr="00D73B32">
        <w:rPr>
          <w:rFonts w:ascii="Times New Roman" w:eastAsia="Calibri" w:hAnsi="Times New Roman" w:cs="Times New Roman"/>
          <w:sz w:val="24"/>
          <w:szCs w:val="24"/>
          <w:lang w:val="es-MX"/>
        </w:rPr>
        <w:t xml:space="preserve"> sobre el TDAH.</w:t>
      </w:r>
    </w:p>
    <w:p w14:paraId="12A99D49" w14:textId="7C4CAE2F" w:rsidR="00D73B32" w:rsidRP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 xml:space="preserve">Talleres de socialización profesional con análisis de casos reales de educandos con TDAH atendidos por los </w:t>
      </w:r>
      <w:r w:rsidR="00E73742" w:rsidRPr="00D73B32">
        <w:rPr>
          <w:rFonts w:ascii="Times New Roman" w:eastAsia="Calibri" w:hAnsi="Times New Roman" w:cs="Times New Roman"/>
          <w:sz w:val="24"/>
          <w:szCs w:val="24"/>
          <w:lang w:val="es-MX"/>
        </w:rPr>
        <w:t>CDO</w:t>
      </w:r>
      <w:r w:rsidR="00E73742">
        <w:rPr>
          <w:rFonts w:ascii="Times New Roman" w:eastAsia="Calibri" w:hAnsi="Times New Roman" w:cs="Times New Roman"/>
          <w:sz w:val="24"/>
          <w:szCs w:val="24"/>
          <w:lang w:val="es-MX"/>
        </w:rPr>
        <w:t>. Auto preparación</w:t>
      </w:r>
      <w:r w:rsidRPr="00D73B32">
        <w:rPr>
          <w:rFonts w:ascii="Times New Roman" w:eastAsia="Calibri" w:hAnsi="Times New Roman" w:cs="Times New Roman"/>
          <w:sz w:val="24"/>
          <w:szCs w:val="24"/>
          <w:lang w:val="es-MX"/>
        </w:rPr>
        <w:t xml:space="preserve"> guiada e investigativa mediante materiales bibliográficos y tareas de observación y análisis en contextos escolares</w:t>
      </w:r>
      <w:r w:rsidR="00E73742">
        <w:rPr>
          <w:rFonts w:ascii="Times New Roman" w:eastAsia="Calibri" w:hAnsi="Times New Roman" w:cs="Times New Roman"/>
          <w:sz w:val="24"/>
          <w:szCs w:val="24"/>
          <w:lang w:val="es-MX"/>
        </w:rPr>
        <w:t xml:space="preserve"> y c</w:t>
      </w:r>
      <w:r w:rsidRPr="00D73B32">
        <w:rPr>
          <w:rFonts w:ascii="Times New Roman" w:eastAsia="Calibri" w:hAnsi="Times New Roman" w:cs="Times New Roman"/>
          <w:sz w:val="24"/>
          <w:szCs w:val="24"/>
          <w:lang w:val="es-MX"/>
        </w:rPr>
        <w:t xml:space="preserve">onferencias especializadas con </w:t>
      </w:r>
      <w:proofErr w:type="spellStart"/>
      <w:r w:rsidRPr="00D73B32">
        <w:rPr>
          <w:rFonts w:ascii="Times New Roman" w:eastAsia="Calibri" w:hAnsi="Times New Roman" w:cs="Times New Roman"/>
          <w:sz w:val="24"/>
          <w:szCs w:val="24"/>
          <w:lang w:val="es-MX"/>
        </w:rPr>
        <w:t>neuropediatras</w:t>
      </w:r>
      <w:proofErr w:type="spellEnd"/>
      <w:r w:rsidRPr="00D73B32">
        <w:rPr>
          <w:rFonts w:ascii="Times New Roman" w:eastAsia="Calibri" w:hAnsi="Times New Roman" w:cs="Times New Roman"/>
          <w:sz w:val="24"/>
          <w:szCs w:val="24"/>
          <w:lang w:val="es-MX"/>
        </w:rPr>
        <w:t>, psicólogos clínicos e investigadores para abordar temas específicos.</w:t>
      </w:r>
    </w:p>
    <w:p w14:paraId="77A908F6" w14:textId="77777777" w:rsidR="00D73B32" w:rsidRP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 xml:space="preserve">Etapa 4: Evaluación, retroalimentación y proyección. Concebida desde una perspectiva formativa y participativa, incluyó evaluación de aprendizajes, evaluación de impacto en la práctica profesional, autoevaluación y coevaluación en taller de cierre, y proyección de continuidad </w:t>
      </w:r>
      <w:r w:rsidRPr="00D73B32">
        <w:rPr>
          <w:rFonts w:ascii="Times New Roman" w:eastAsia="Calibri" w:hAnsi="Times New Roman" w:cs="Times New Roman"/>
          <w:sz w:val="24"/>
          <w:szCs w:val="24"/>
          <w:lang w:val="es-MX"/>
        </w:rPr>
        <w:lastRenderedPageBreak/>
        <w:t>identificando nuevas necesidades de superación.</w:t>
      </w:r>
    </w:p>
    <w:p w14:paraId="3B35BC1A" w14:textId="52B57989" w:rsid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Validación teórica de la estrategia</w:t>
      </w:r>
      <w:r>
        <w:rPr>
          <w:rFonts w:ascii="Times New Roman" w:eastAsia="Calibri" w:hAnsi="Times New Roman" w:cs="Times New Roman"/>
          <w:sz w:val="24"/>
          <w:szCs w:val="24"/>
          <w:lang w:val="es-MX"/>
        </w:rPr>
        <w:t xml:space="preserve">: </w:t>
      </w:r>
      <w:r w:rsidRPr="00D73B32">
        <w:rPr>
          <w:rFonts w:ascii="Times New Roman" w:eastAsia="Calibri" w:hAnsi="Times New Roman" w:cs="Times New Roman"/>
          <w:sz w:val="24"/>
          <w:szCs w:val="24"/>
          <w:lang w:val="es-MX"/>
        </w:rPr>
        <w:t>La estrategia fue sometida a valoración teórica mediante talleres de opinión crítica con 7 expertos, quienes coincidieron en valorarla como pertinente, novedosa y con sólida fundamentación teórico-metodológica. Destacaron la coherencia entre sus etapas, la adecuada contextualización al TDAH y al rol del pedagogo del CDO, y la factibilidad de su implementación en las condiciones reales de los CDO de la provincia. Las sugerencias realizadas fueron incorporadas para su perfeccionamiento.</w:t>
      </w:r>
    </w:p>
    <w:p w14:paraId="4432F060" w14:textId="7230CFE6" w:rsidR="00D73B32" w:rsidRDefault="00D73B32" w:rsidP="00D73B32">
      <w:pPr>
        <w:widowControl w:val="0"/>
        <w:spacing w:line="360" w:lineRule="auto"/>
        <w:jc w:val="both"/>
        <w:rPr>
          <w:rFonts w:ascii="Times New Roman" w:eastAsia="Calibri" w:hAnsi="Times New Roman" w:cs="Times New Roman"/>
          <w:sz w:val="24"/>
          <w:szCs w:val="24"/>
          <w:lang w:val="es-MX"/>
        </w:rPr>
      </w:pPr>
      <w:r w:rsidRPr="00D73B32">
        <w:rPr>
          <w:rFonts w:ascii="Times New Roman" w:eastAsia="Calibri" w:hAnsi="Times New Roman" w:cs="Times New Roman"/>
          <w:sz w:val="24"/>
          <w:szCs w:val="24"/>
          <w:lang w:val="es-MX"/>
        </w:rPr>
        <w:t xml:space="preserve">Resultados del </w:t>
      </w:r>
      <w:proofErr w:type="spellStart"/>
      <w:r w:rsidRPr="00D73B32">
        <w:rPr>
          <w:rFonts w:ascii="Times New Roman" w:eastAsia="Calibri" w:hAnsi="Times New Roman" w:cs="Times New Roman"/>
          <w:sz w:val="24"/>
          <w:szCs w:val="24"/>
          <w:lang w:val="es-MX"/>
        </w:rPr>
        <w:t>pre-experimento</w:t>
      </w:r>
      <w:proofErr w:type="spellEnd"/>
      <w:r w:rsidRPr="00D73B32">
        <w:rPr>
          <w:rFonts w:ascii="Times New Roman" w:eastAsia="Calibri" w:hAnsi="Times New Roman" w:cs="Times New Roman"/>
          <w:sz w:val="24"/>
          <w:szCs w:val="24"/>
          <w:lang w:val="es-MX"/>
        </w:rPr>
        <w:t xml:space="preserve"> (</w:t>
      </w:r>
      <w:proofErr w:type="spellStart"/>
      <w:r w:rsidRPr="00D73B32">
        <w:rPr>
          <w:rFonts w:ascii="Times New Roman" w:eastAsia="Calibri" w:hAnsi="Times New Roman" w:cs="Times New Roman"/>
          <w:sz w:val="24"/>
          <w:szCs w:val="24"/>
          <w:lang w:val="es-MX"/>
        </w:rPr>
        <w:t>post-test</w:t>
      </w:r>
      <w:proofErr w:type="spellEnd"/>
      <w:r w:rsidRPr="00D73B32">
        <w:rPr>
          <w:rFonts w:ascii="Times New Roman" w:eastAsia="Calibri" w:hAnsi="Times New Roman" w:cs="Times New Roman"/>
          <w:sz w:val="24"/>
          <w:szCs w:val="24"/>
          <w:lang w:val="es-MX"/>
        </w:rPr>
        <w:t>)</w:t>
      </w:r>
      <w:r w:rsidR="00450578">
        <w:rPr>
          <w:rFonts w:ascii="Times New Roman" w:eastAsia="Calibri" w:hAnsi="Times New Roman" w:cs="Times New Roman"/>
          <w:sz w:val="24"/>
          <w:szCs w:val="24"/>
          <w:lang w:val="es-MX"/>
        </w:rPr>
        <w:t>:</w:t>
      </w:r>
      <w:r w:rsidR="009E1921" w:rsidRPr="009E1921">
        <w:t xml:space="preserve"> </w:t>
      </w:r>
      <w:r w:rsidR="009E1921" w:rsidRPr="009E1921">
        <w:rPr>
          <w:rFonts w:ascii="Times New Roman" w:eastAsia="Calibri" w:hAnsi="Times New Roman" w:cs="Times New Roman"/>
          <w:sz w:val="24"/>
          <w:szCs w:val="24"/>
          <w:lang w:val="es-MX"/>
        </w:rPr>
        <w:t>Tras la implementación de la estrategia durante un período de un año escolar, se aplicaron nuevamente los instrumentos, obteniéndose los resultados que se muestran en la Tabla 1.</w:t>
      </w:r>
    </w:p>
    <w:p w14:paraId="3A615A58" w14:textId="55A48CC9" w:rsidR="009E1921" w:rsidRDefault="00450578" w:rsidP="00D73B32">
      <w:pPr>
        <w:widowControl w:val="0"/>
        <w:spacing w:line="360" w:lineRule="auto"/>
        <w:jc w:val="both"/>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 xml:space="preserve">Tabla 1: Comparación de resultados del </w:t>
      </w:r>
      <w:proofErr w:type="spellStart"/>
      <w:r w:rsidRPr="00450578">
        <w:rPr>
          <w:rFonts w:ascii="Times New Roman" w:eastAsia="Calibri" w:hAnsi="Times New Roman" w:cs="Times New Roman"/>
          <w:sz w:val="24"/>
          <w:szCs w:val="24"/>
          <w:lang w:val="es-MX"/>
        </w:rPr>
        <w:t>pre-test</w:t>
      </w:r>
      <w:proofErr w:type="spellEnd"/>
      <w:r w:rsidRPr="00450578">
        <w:rPr>
          <w:rFonts w:ascii="Times New Roman" w:eastAsia="Calibri" w:hAnsi="Times New Roman" w:cs="Times New Roman"/>
          <w:sz w:val="24"/>
          <w:szCs w:val="24"/>
          <w:lang w:val="es-MX"/>
        </w:rPr>
        <w:t xml:space="preserve"> y </w:t>
      </w:r>
      <w:proofErr w:type="spellStart"/>
      <w:r w:rsidRPr="00450578">
        <w:rPr>
          <w:rFonts w:ascii="Times New Roman" w:eastAsia="Calibri" w:hAnsi="Times New Roman" w:cs="Times New Roman"/>
          <w:sz w:val="24"/>
          <w:szCs w:val="24"/>
          <w:lang w:val="es-MX"/>
        </w:rPr>
        <w:t>post-test</w:t>
      </w:r>
      <w:proofErr w:type="spellEnd"/>
      <w:r w:rsidRPr="00450578">
        <w:rPr>
          <w:rFonts w:ascii="Times New Roman" w:eastAsia="Calibri" w:hAnsi="Times New Roman" w:cs="Times New Roman"/>
          <w:sz w:val="24"/>
          <w:szCs w:val="24"/>
          <w:lang w:val="es-MX"/>
        </w:rPr>
        <w:t xml:space="preserve"> por dimensiones (en %)</w:t>
      </w:r>
    </w:p>
    <w:tbl>
      <w:tblPr>
        <w:tblStyle w:val="Tablaconcuadrcula"/>
        <w:tblW w:w="0" w:type="auto"/>
        <w:tblLook w:val="04A0" w:firstRow="1" w:lastRow="0" w:firstColumn="1" w:lastColumn="0" w:noHBand="0" w:noVBand="1"/>
      </w:tblPr>
      <w:tblGrid>
        <w:gridCol w:w="1709"/>
        <w:gridCol w:w="1547"/>
        <w:gridCol w:w="1559"/>
        <w:gridCol w:w="1701"/>
        <w:gridCol w:w="1559"/>
      </w:tblGrid>
      <w:tr w:rsidR="00450578" w14:paraId="29DB5E18" w14:textId="3E5F3068" w:rsidTr="00531343">
        <w:trPr>
          <w:trHeight w:val="382"/>
        </w:trPr>
        <w:tc>
          <w:tcPr>
            <w:tcW w:w="1709" w:type="dxa"/>
          </w:tcPr>
          <w:p w14:paraId="2892F450" w14:textId="0FCE0F91"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r w:rsidRPr="00450578">
              <w:rPr>
                <w:rFonts w:ascii="Times New Roman" w:eastAsia="Calibri" w:hAnsi="Times New Roman" w:cs="Times New Roman"/>
                <w:b/>
                <w:bCs/>
                <w:sz w:val="24"/>
                <w:szCs w:val="24"/>
                <w:lang w:val="es-MX"/>
              </w:rPr>
              <w:t>Dimensiones</w:t>
            </w:r>
          </w:p>
        </w:tc>
        <w:tc>
          <w:tcPr>
            <w:tcW w:w="1547" w:type="dxa"/>
          </w:tcPr>
          <w:p w14:paraId="28B364B9" w14:textId="47EF35A4"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r w:rsidRPr="00450578">
              <w:rPr>
                <w:rFonts w:ascii="Times New Roman" w:eastAsia="Calibri" w:hAnsi="Times New Roman" w:cs="Times New Roman"/>
                <w:b/>
                <w:bCs/>
                <w:sz w:val="24"/>
                <w:szCs w:val="24"/>
                <w:lang w:val="es-MX"/>
              </w:rPr>
              <w:t>Niveles</w:t>
            </w:r>
          </w:p>
        </w:tc>
        <w:tc>
          <w:tcPr>
            <w:tcW w:w="1559" w:type="dxa"/>
          </w:tcPr>
          <w:p w14:paraId="052BE7E0" w14:textId="427EEFC7"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proofErr w:type="spellStart"/>
            <w:r w:rsidRPr="00450578">
              <w:rPr>
                <w:rFonts w:ascii="Times New Roman" w:eastAsia="Calibri" w:hAnsi="Times New Roman" w:cs="Times New Roman"/>
                <w:b/>
                <w:bCs/>
                <w:sz w:val="24"/>
                <w:szCs w:val="24"/>
                <w:lang w:val="es-MX"/>
              </w:rPr>
              <w:t>Pre-test</w:t>
            </w:r>
            <w:proofErr w:type="spellEnd"/>
            <w:r w:rsidRPr="00450578">
              <w:rPr>
                <w:rFonts w:ascii="Times New Roman" w:eastAsia="Calibri" w:hAnsi="Times New Roman" w:cs="Times New Roman"/>
                <w:b/>
                <w:bCs/>
                <w:sz w:val="24"/>
                <w:szCs w:val="24"/>
                <w:lang w:val="es-MX"/>
              </w:rPr>
              <w:t xml:space="preserve"> (%)</w:t>
            </w:r>
          </w:p>
        </w:tc>
        <w:tc>
          <w:tcPr>
            <w:tcW w:w="1701" w:type="dxa"/>
          </w:tcPr>
          <w:p w14:paraId="006B279D" w14:textId="6ADD3619"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proofErr w:type="spellStart"/>
            <w:r w:rsidRPr="00450578">
              <w:rPr>
                <w:rFonts w:ascii="Times New Roman" w:eastAsia="Calibri" w:hAnsi="Times New Roman" w:cs="Times New Roman"/>
                <w:b/>
                <w:bCs/>
                <w:sz w:val="24"/>
                <w:szCs w:val="24"/>
                <w:lang w:val="es-MX"/>
              </w:rPr>
              <w:t>Post-test</w:t>
            </w:r>
            <w:proofErr w:type="spellEnd"/>
            <w:r w:rsidRPr="00450578">
              <w:rPr>
                <w:rFonts w:ascii="Times New Roman" w:eastAsia="Calibri" w:hAnsi="Times New Roman" w:cs="Times New Roman"/>
                <w:b/>
                <w:bCs/>
                <w:sz w:val="24"/>
                <w:szCs w:val="24"/>
                <w:lang w:val="es-MX"/>
              </w:rPr>
              <w:t xml:space="preserve"> (%)</w:t>
            </w:r>
          </w:p>
        </w:tc>
        <w:tc>
          <w:tcPr>
            <w:tcW w:w="1559" w:type="dxa"/>
          </w:tcPr>
          <w:p w14:paraId="64D0E68D" w14:textId="2FA65948"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r w:rsidRPr="00450578">
              <w:rPr>
                <w:rFonts w:ascii="Times New Roman" w:eastAsia="Calibri" w:hAnsi="Times New Roman" w:cs="Times New Roman"/>
                <w:b/>
                <w:bCs/>
                <w:sz w:val="24"/>
                <w:szCs w:val="24"/>
                <w:lang w:val="es-MX"/>
              </w:rPr>
              <w:t>Diferencia</w:t>
            </w:r>
          </w:p>
        </w:tc>
      </w:tr>
      <w:tr w:rsidR="00450578" w14:paraId="01A225BA" w14:textId="3D298C6F" w:rsidTr="009E1921">
        <w:tc>
          <w:tcPr>
            <w:tcW w:w="1709" w:type="dxa"/>
          </w:tcPr>
          <w:p w14:paraId="5FB59111" w14:textId="636C2C5F"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r w:rsidRPr="00450578">
              <w:rPr>
                <w:rFonts w:ascii="Times New Roman" w:eastAsia="Calibri" w:hAnsi="Times New Roman" w:cs="Times New Roman"/>
                <w:b/>
                <w:bCs/>
                <w:sz w:val="24"/>
                <w:szCs w:val="24"/>
                <w:lang w:val="es-MX"/>
              </w:rPr>
              <w:t>Cognitiva</w:t>
            </w:r>
          </w:p>
        </w:tc>
        <w:tc>
          <w:tcPr>
            <w:tcW w:w="1547" w:type="dxa"/>
          </w:tcPr>
          <w:p w14:paraId="538B100E" w14:textId="553AE291"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Bajo</w:t>
            </w:r>
          </w:p>
        </w:tc>
        <w:tc>
          <w:tcPr>
            <w:tcW w:w="1559" w:type="dxa"/>
          </w:tcPr>
          <w:p w14:paraId="18F3C733" w14:textId="124367A9"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66.7</w:t>
            </w:r>
          </w:p>
        </w:tc>
        <w:tc>
          <w:tcPr>
            <w:tcW w:w="1701" w:type="dxa"/>
          </w:tcPr>
          <w:p w14:paraId="5B2DA866" w14:textId="31E27404"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0.0</w:t>
            </w:r>
          </w:p>
        </w:tc>
        <w:tc>
          <w:tcPr>
            <w:tcW w:w="1559" w:type="dxa"/>
          </w:tcPr>
          <w:p w14:paraId="7DFD56A9" w14:textId="7A1ABAF1"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-66.7</w:t>
            </w:r>
          </w:p>
        </w:tc>
      </w:tr>
      <w:tr w:rsidR="00450578" w14:paraId="292917BD" w14:textId="7AF29783" w:rsidTr="009E1921">
        <w:tc>
          <w:tcPr>
            <w:tcW w:w="1709" w:type="dxa"/>
          </w:tcPr>
          <w:p w14:paraId="448E0DC9" w14:textId="77777777" w:rsidR="00450578" w:rsidRDefault="00450578" w:rsidP="00D73B32">
            <w:pPr>
              <w:widowControl w:val="0"/>
              <w:spacing w:line="360" w:lineRule="auto"/>
              <w:jc w:val="both"/>
              <w:rPr>
                <w:rFonts w:ascii="Times New Roman" w:eastAsia="Calibri" w:hAnsi="Times New Roman" w:cs="Times New Roman"/>
                <w:sz w:val="24"/>
                <w:szCs w:val="24"/>
                <w:lang w:val="es-MX"/>
              </w:rPr>
            </w:pPr>
          </w:p>
        </w:tc>
        <w:tc>
          <w:tcPr>
            <w:tcW w:w="1547" w:type="dxa"/>
          </w:tcPr>
          <w:p w14:paraId="18B3C139" w14:textId="24CA6BDE"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Medio</w:t>
            </w:r>
          </w:p>
        </w:tc>
        <w:tc>
          <w:tcPr>
            <w:tcW w:w="1559" w:type="dxa"/>
          </w:tcPr>
          <w:p w14:paraId="4308678C" w14:textId="385B61F9"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33.3</w:t>
            </w:r>
          </w:p>
        </w:tc>
        <w:tc>
          <w:tcPr>
            <w:tcW w:w="1701" w:type="dxa"/>
          </w:tcPr>
          <w:p w14:paraId="34793669" w14:textId="61BEFED1"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33.3</w:t>
            </w:r>
          </w:p>
        </w:tc>
        <w:tc>
          <w:tcPr>
            <w:tcW w:w="1559" w:type="dxa"/>
          </w:tcPr>
          <w:p w14:paraId="47AB8230" w14:textId="02C8CA8D"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0.0</w:t>
            </w:r>
          </w:p>
        </w:tc>
      </w:tr>
      <w:tr w:rsidR="00450578" w14:paraId="6D5D9D92" w14:textId="19AE402F" w:rsidTr="009E1921">
        <w:tc>
          <w:tcPr>
            <w:tcW w:w="1709" w:type="dxa"/>
          </w:tcPr>
          <w:p w14:paraId="28806CFA" w14:textId="77777777" w:rsidR="00450578" w:rsidRDefault="00450578" w:rsidP="00D73B32">
            <w:pPr>
              <w:widowControl w:val="0"/>
              <w:spacing w:line="360" w:lineRule="auto"/>
              <w:jc w:val="both"/>
              <w:rPr>
                <w:rFonts w:ascii="Times New Roman" w:eastAsia="Calibri" w:hAnsi="Times New Roman" w:cs="Times New Roman"/>
                <w:sz w:val="24"/>
                <w:szCs w:val="24"/>
                <w:lang w:val="es-MX"/>
              </w:rPr>
            </w:pPr>
          </w:p>
        </w:tc>
        <w:tc>
          <w:tcPr>
            <w:tcW w:w="1547" w:type="dxa"/>
          </w:tcPr>
          <w:p w14:paraId="61E178F4" w14:textId="3F94F4AE"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Alto</w:t>
            </w:r>
          </w:p>
        </w:tc>
        <w:tc>
          <w:tcPr>
            <w:tcW w:w="1559" w:type="dxa"/>
          </w:tcPr>
          <w:p w14:paraId="21EA0315" w14:textId="23A65844"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0.0</w:t>
            </w:r>
          </w:p>
        </w:tc>
        <w:tc>
          <w:tcPr>
            <w:tcW w:w="1701" w:type="dxa"/>
          </w:tcPr>
          <w:p w14:paraId="2984F953" w14:textId="67FBA0C5"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66.7</w:t>
            </w:r>
          </w:p>
        </w:tc>
        <w:tc>
          <w:tcPr>
            <w:tcW w:w="1559" w:type="dxa"/>
          </w:tcPr>
          <w:p w14:paraId="4CE10F42" w14:textId="7CA62D46"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+66.7</w:t>
            </w:r>
          </w:p>
        </w:tc>
      </w:tr>
      <w:tr w:rsidR="00450578" w14:paraId="21E3BDE2" w14:textId="71133C0D" w:rsidTr="009E1921">
        <w:tc>
          <w:tcPr>
            <w:tcW w:w="1709" w:type="dxa"/>
          </w:tcPr>
          <w:p w14:paraId="3B72E1A0" w14:textId="20F9E2EE" w:rsidR="00450578" w:rsidRPr="00450578" w:rsidRDefault="00450578" w:rsidP="00450578">
            <w:pPr>
              <w:widowControl w:val="0"/>
              <w:spacing w:line="360" w:lineRule="auto"/>
              <w:jc w:val="center"/>
              <w:rPr>
                <w:rFonts w:ascii="Times New Roman" w:eastAsia="Calibri" w:hAnsi="Times New Roman" w:cs="Times New Roman"/>
                <w:b/>
                <w:bCs/>
                <w:sz w:val="24"/>
                <w:szCs w:val="24"/>
                <w:lang w:val="es-MX"/>
              </w:rPr>
            </w:pPr>
            <w:r w:rsidRPr="00450578">
              <w:rPr>
                <w:rFonts w:ascii="Times New Roman" w:eastAsia="Calibri" w:hAnsi="Times New Roman" w:cs="Times New Roman"/>
                <w:b/>
                <w:bCs/>
                <w:sz w:val="24"/>
                <w:szCs w:val="24"/>
                <w:lang w:val="es-MX"/>
              </w:rPr>
              <w:t>Procedimental</w:t>
            </w:r>
          </w:p>
        </w:tc>
        <w:tc>
          <w:tcPr>
            <w:tcW w:w="1547" w:type="dxa"/>
          </w:tcPr>
          <w:p w14:paraId="41468D11" w14:textId="60CFDA63"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Bajo</w:t>
            </w:r>
          </w:p>
        </w:tc>
        <w:tc>
          <w:tcPr>
            <w:tcW w:w="1559" w:type="dxa"/>
          </w:tcPr>
          <w:p w14:paraId="4A9EAC20" w14:textId="49C80EF7"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73.3</w:t>
            </w:r>
          </w:p>
        </w:tc>
        <w:tc>
          <w:tcPr>
            <w:tcW w:w="1701" w:type="dxa"/>
          </w:tcPr>
          <w:p w14:paraId="443E377E" w14:textId="7F029BF9"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6.7</w:t>
            </w:r>
          </w:p>
        </w:tc>
        <w:tc>
          <w:tcPr>
            <w:tcW w:w="1559" w:type="dxa"/>
          </w:tcPr>
          <w:p w14:paraId="09F3C034" w14:textId="7478BC43"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-66.6</w:t>
            </w:r>
          </w:p>
        </w:tc>
      </w:tr>
      <w:tr w:rsidR="00450578" w14:paraId="61BCAA46" w14:textId="67213992" w:rsidTr="009E1921">
        <w:tc>
          <w:tcPr>
            <w:tcW w:w="1709" w:type="dxa"/>
          </w:tcPr>
          <w:p w14:paraId="38F84A2A" w14:textId="77777777" w:rsidR="00450578" w:rsidRDefault="00450578" w:rsidP="00450578">
            <w:pPr>
              <w:widowControl w:val="0"/>
              <w:spacing w:line="360" w:lineRule="auto"/>
              <w:jc w:val="center"/>
              <w:rPr>
                <w:rFonts w:ascii="Times New Roman" w:eastAsia="Calibri" w:hAnsi="Times New Roman" w:cs="Times New Roman"/>
                <w:sz w:val="24"/>
                <w:szCs w:val="24"/>
                <w:lang w:val="es-MX"/>
              </w:rPr>
            </w:pPr>
          </w:p>
        </w:tc>
        <w:tc>
          <w:tcPr>
            <w:tcW w:w="1547" w:type="dxa"/>
          </w:tcPr>
          <w:p w14:paraId="2841F68A" w14:textId="1BA0AB0A"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Medio</w:t>
            </w:r>
          </w:p>
        </w:tc>
        <w:tc>
          <w:tcPr>
            <w:tcW w:w="1559" w:type="dxa"/>
          </w:tcPr>
          <w:p w14:paraId="059BD857" w14:textId="4863116F"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26.7</w:t>
            </w:r>
          </w:p>
        </w:tc>
        <w:tc>
          <w:tcPr>
            <w:tcW w:w="1701" w:type="dxa"/>
          </w:tcPr>
          <w:p w14:paraId="46C72AAB" w14:textId="4647D565"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46.6</w:t>
            </w:r>
          </w:p>
        </w:tc>
        <w:tc>
          <w:tcPr>
            <w:tcW w:w="1559" w:type="dxa"/>
          </w:tcPr>
          <w:p w14:paraId="00AA761A" w14:textId="7069E294" w:rsidR="00450578" w:rsidRDefault="00450578" w:rsidP="00450578">
            <w:pPr>
              <w:widowControl w:val="0"/>
              <w:spacing w:line="360" w:lineRule="auto"/>
              <w:jc w:val="center"/>
              <w:rPr>
                <w:rFonts w:ascii="Times New Roman" w:eastAsia="Calibri" w:hAnsi="Times New Roman" w:cs="Times New Roman"/>
                <w:sz w:val="24"/>
                <w:szCs w:val="24"/>
                <w:lang w:val="es-MX"/>
              </w:rPr>
            </w:pPr>
            <w:r w:rsidRPr="00450578">
              <w:rPr>
                <w:rFonts w:ascii="Times New Roman" w:eastAsia="Calibri" w:hAnsi="Times New Roman" w:cs="Times New Roman"/>
                <w:sz w:val="24"/>
                <w:szCs w:val="24"/>
                <w:lang w:val="es-MX"/>
              </w:rPr>
              <w:t>+19.9</w:t>
            </w:r>
          </w:p>
        </w:tc>
      </w:tr>
      <w:tr w:rsidR="00450578" w14:paraId="40EB5CE5" w14:textId="77777777" w:rsidTr="009E1921">
        <w:tc>
          <w:tcPr>
            <w:tcW w:w="1709" w:type="dxa"/>
          </w:tcPr>
          <w:p w14:paraId="3CAD7B81" w14:textId="77777777" w:rsidR="00450578" w:rsidRDefault="00450578" w:rsidP="00450578">
            <w:pPr>
              <w:widowControl w:val="0"/>
              <w:spacing w:line="360" w:lineRule="auto"/>
              <w:jc w:val="center"/>
              <w:rPr>
                <w:rFonts w:ascii="Times New Roman" w:eastAsia="Calibri" w:hAnsi="Times New Roman" w:cs="Times New Roman"/>
                <w:sz w:val="24"/>
                <w:szCs w:val="24"/>
                <w:lang w:val="es-MX"/>
              </w:rPr>
            </w:pPr>
          </w:p>
        </w:tc>
        <w:tc>
          <w:tcPr>
            <w:tcW w:w="1547" w:type="dxa"/>
          </w:tcPr>
          <w:p w14:paraId="6667E5DE" w14:textId="2635A071" w:rsidR="00450578" w:rsidRPr="00450578"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Alto </w:t>
            </w:r>
          </w:p>
        </w:tc>
        <w:tc>
          <w:tcPr>
            <w:tcW w:w="1559" w:type="dxa"/>
          </w:tcPr>
          <w:p w14:paraId="3AEA716E" w14:textId="0534612D" w:rsidR="00450578" w:rsidRPr="00450578"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0.0</w:t>
            </w:r>
          </w:p>
        </w:tc>
        <w:tc>
          <w:tcPr>
            <w:tcW w:w="1701" w:type="dxa"/>
          </w:tcPr>
          <w:p w14:paraId="4F0E657F" w14:textId="2F199B72" w:rsidR="00450578" w:rsidRPr="00450578"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46.7</w:t>
            </w:r>
          </w:p>
        </w:tc>
        <w:tc>
          <w:tcPr>
            <w:tcW w:w="1559" w:type="dxa"/>
          </w:tcPr>
          <w:p w14:paraId="76589F7C" w14:textId="522758D9" w:rsidR="00450578" w:rsidRPr="00450578"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+46.7</w:t>
            </w:r>
          </w:p>
        </w:tc>
      </w:tr>
      <w:tr w:rsidR="009E1921" w14:paraId="02A0F9D0" w14:textId="77777777" w:rsidTr="009E1921">
        <w:tc>
          <w:tcPr>
            <w:tcW w:w="1709" w:type="dxa"/>
          </w:tcPr>
          <w:p w14:paraId="47705FAB" w14:textId="4B053C3E" w:rsidR="009E1921" w:rsidRPr="009E1921" w:rsidRDefault="009E1921" w:rsidP="00450578">
            <w:pPr>
              <w:widowControl w:val="0"/>
              <w:spacing w:line="360" w:lineRule="auto"/>
              <w:jc w:val="center"/>
              <w:rPr>
                <w:rFonts w:ascii="Times New Roman" w:eastAsia="Calibri" w:hAnsi="Times New Roman" w:cs="Times New Roman"/>
                <w:b/>
                <w:bCs/>
                <w:sz w:val="24"/>
                <w:szCs w:val="24"/>
                <w:lang w:val="es-MX"/>
              </w:rPr>
            </w:pPr>
            <w:r w:rsidRPr="009E1921">
              <w:rPr>
                <w:rFonts w:ascii="Times New Roman" w:eastAsia="Calibri" w:hAnsi="Times New Roman" w:cs="Times New Roman"/>
                <w:b/>
                <w:bCs/>
                <w:sz w:val="24"/>
                <w:szCs w:val="24"/>
                <w:lang w:val="es-MX"/>
              </w:rPr>
              <w:t xml:space="preserve">Actitudinal </w:t>
            </w:r>
          </w:p>
        </w:tc>
        <w:tc>
          <w:tcPr>
            <w:tcW w:w="1547" w:type="dxa"/>
          </w:tcPr>
          <w:p w14:paraId="3D12F205" w14:textId="526EC808"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Bajo</w:t>
            </w:r>
          </w:p>
        </w:tc>
        <w:tc>
          <w:tcPr>
            <w:tcW w:w="1559" w:type="dxa"/>
          </w:tcPr>
          <w:p w14:paraId="1ADB8DEC" w14:textId="6FE395AF"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40.0</w:t>
            </w:r>
          </w:p>
        </w:tc>
        <w:tc>
          <w:tcPr>
            <w:tcW w:w="1701" w:type="dxa"/>
          </w:tcPr>
          <w:p w14:paraId="73E063FC" w14:textId="0512FECB"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0.0</w:t>
            </w:r>
          </w:p>
        </w:tc>
        <w:tc>
          <w:tcPr>
            <w:tcW w:w="1559" w:type="dxa"/>
          </w:tcPr>
          <w:p w14:paraId="02689ECE" w14:textId="3D4A17E4"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-40.0</w:t>
            </w:r>
          </w:p>
        </w:tc>
      </w:tr>
      <w:tr w:rsidR="009E1921" w14:paraId="177E1DD9" w14:textId="77777777" w:rsidTr="009E1921">
        <w:tc>
          <w:tcPr>
            <w:tcW w:w="1709" w:type="dxa"/>
          </w:tcPr>
          <w:p w14:paraId="26EDD56A" w14:textId="77777777" w:rsidR="009E1921" w:rsidRDefault="009E1921" w:rsidP="00450578">
            <w:pPr>
              <w:widowControl w:val="0"/>
              <w:spacing w:line="360" w:lineRule="auto"/>
              <w:jc w:val="center"/>
              <w:rPr>
                <w:rFonts w:ascii="Times New Roman" w:eastAsia="Calibri" w:hAnsi="Times New Roman" w:cs="Times New Roman"/>
                <w:sz w:val="24"/>
                <w:szCs w:val="24"/>
                <w:lang w:val="es-MX"/>
              </w:rPr>
            </w:pPr>
          </w:p>
        </w:tc>
        <w:tc>
          <w:tcPr>
            <w:tcW w:w="1547" w:type="dxa"/>
          </w:tcPr>
          <w:p w14:paraId="0D20FCC2" w14:textId="6795413F"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Medio </w:t>
            </w:r>
          </w:p>
        </w:tc>
        <w:tc>
          <w:tcPr>
            <w:tcW w:w="1559" w:type="dxa"/>
          </w:tcPr>
          <w:p w14:paraId="458D4943" w14:textId="45E5B923"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60.0</w:t>
            </w:r>
          </w:p>
        </w:tc>
        <w:tc>
          <w:tcPr>
            <w:tcW w:w="1701" w:type="dxa"/>
          </w:tcPr>
          <w:p w14:paraId="58405E50" w14:textId="263812EC"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26.7</w:t>
            </w:r>
          </w:p>
        </w:tc>
        <w:tc>
          <w:tcPr>
            <w:tcW w:w="1559" w:type="dxa"/>
          </w:tcPr>
          <w:p w14:paraId="386F0E23" w14:textId="041DF77D"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-33.3</w:t>
            </w:r>
          </w:p>
        </w:tc>
      </w:tr>
      <w:tr w:rsidR="009E1921" w14:paraId="6CFDA21F" w14:textId="77777777" w:rsidTr="00531343">
        <w:trPr>
          <w:trHeight w:val="230"/>
        </w:trPr>
        <w:tc>
          <w:tcPr>
            <w:tcW w:w="1709" w:type="dxa"/>
          </w:tcPr>
          <w:p w14:paraId="1DAB91AC" w14:textId="77777777" w:rsidR="009E1921" w:rsidRDefault="009E1921" w:rsidP="00450578">
            <w:pPr>
              <w:widowControl w:val="0"/>
              <w:spacing w:line="360" w:lineRule="auto"/>
              <w:jc w:val="center"/>
              <w:rPr>
                <w:rFonts w:ascii="Times New Roman" w:eastAsia="Calibri" w:hAnsi="Times New Roman" w:cs="Times New Roman"/>
                <w:sz w:val="24"/>
                <w:szCs w:val="24"/>
                <w:lang w:val="es-MX"/>
              </w:rPr>
            </w:pPr>
          </w:p>
        </w:tc>
        <w:tc>
          <w:tcPr>
            <w:tcW w:w="1547" w:type="dxa"/>
          </w:tcPr>
          <w:p w14:paraId="5A002F33" w14:textId="6617FEC2"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Alto </w:t>
            </w:r>
          </w:p>
        </w:tc>
        <w:tc>
          <w:tcPr>
            <w:tcW w:w="1559" w:type="dxa"/>
          </w:tcPr>
          <w:p w14:paraId="541FAED0" w14:textId="2C982337"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0.0</w:t>
            </w:r>
          </w:p>
        </w:tc>
        <w:tc>
          <w:tcPr>
            <w:tcW w:w="1701" w:type="dxa"/>
          </w:tcPr>
          <w:p w14:paraId="5E8241FE" w14:textId="3F437A16"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73.3</w:t>
            </w:r>
          </w:p>
        </w:tc>
        <w:tc>
          <w:tcPr>
            <w:tcW w:w="1559" w:type="dxa"/>
          </w:tcPr>
          <w:p w14:paraId="462AA4B6" w14:textId="7D287A22" w:rsidR="009E1921" w:rsidRPr="009E1921" w:rsidRDefault="009E1921" w:rsidP="00450578">
            <w:pPr>
              <w:widowControl w:val="0"/>
              <w:spacing w:line="360" w:lineRule="auto"/>
              <w:jc w:val="center"/>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+73.3</w:t>
            </w:r>
          </w:p>
        </w:tc>
      </w:tr>
    </w:tbl>
    <w:p w14:paraId="750E8B3C" w14:textId="249BDBC5" w:rsidR="00450578" w:rsidRDefault="00450578" w:rsidP="009E1921">
      <w:pPr>
        <w:widowControl w:val="0"/>
        <w:spacing w:line="360" w:lineRule="auto"/>
        <w:jc w:val="both"/>
        <w:rPr>
          <w:rFonts w:ascii="Times New Roman" w:eastAsia="Calibri" w:hAnsi="Times New Roman" w:cs="Times New Roman"/>
          <w:sz w:val="24"/>
          <w:szCs w:val="24"/>
          <w:lang w:val="es-MX"/>
        </w:rPr>
      </w:pPr>
    </w:p>
    <w:p w14:paraId="197109B5" w14:textId="6E5130BF" w:rsidR="009E1921" w:rsidRPr="009E1921" w:rsidRDefault="009E1921" w:rsidP="00D83129">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La aplicación de la prueba de Kolmogórov-Smirnov para muestras relacionadas arrojó un valor de significación asintótica bilateral de 0.000 (p &lt; 0.05), lo que confirma que las diferencias entre el </w:t>
      </w:r>
      <w:proofErr w:type="spellStart"/>
      <w:r w:rsidRPr="009E1921">
        <w:rPr>
          <w:rFonts w:ascii="Times New Roman" w:eastAsia="Calibri" w:hAnsi="Times New Roman" w:cs="Times New Roman"/>
          <w:sz w:val="24"/>
          <w:szCs w:val="24"/>
          <w:lang w:val="es-MX"/>
        </w:rPr>
        <w:t>pre-test</w:t>
      </w:r>
      <w:proofErr w:type="spellEnd"/>
      <w:r w:rsidRPr="009E1921">
        <w:rPr>
          <w:rFonts w:ascii="Times New Roman" w:eastAsia="Calibri" w:hAnsi="Times New Roman" w:cs="Times New Roman"/>
          <w:sz w:val="24"/>
          <w:szCs w:val="24"/>
          <w:lang w:val="es-MX"/>
        </w:rPr>
        <w:t xml:space="preserve"> y el </w:t>
      </w:r>
      <w:proofErr w:type="spellStart"/>
      <w:r w:rsidRPr="009E1921">
        <w:rPr>
          <w:rFonts w:ascii="Times New Roman" w:eastAsia="Calibri" w:hAnsi="Times New Roman" w:cs="Times New Roman"/>
          <w:sz w:val="24"/>
          <w:szCs w:val="24"/>
          <w:lang w:val="es-MX"/>
        </w:rPr>
        <w:t>post-test</w:t>
      </w:r>
      <w:proofErr w:type="spellEnd"/>
      <w:r w:rsidRPr="009E1921">
        <w:rPr>
          <w:rFonts w:ascii="Times New Roman" w:eastAsia="Calibri" w:hAnsi="Times New Roman" w:cs="Times New Roman"/>
          <w:sz w:val="24"/>
          <w:szCs w:val="24"/>
          <w:lang w:val="es-MX"/>
        </w:rPr>
        <w:t xml:space="preserve"> son estadísticamente significativas y no atribuibles al azar.</w:t>
      </w:r>
      <w:r w:rsidR="00D83129">
        <w:rPr>
          <w:rFonts w:ascii="Times New Roman" w:eastAsia="Calibri" w:hAnsi="Times New Roman" w:cs="Times New Roman"/>
          <w:sz w:val="24"/>
          <w:szCs w:val="24"/>
          <w:lang w:val="es-MX"/>
        </w:rPr>
        <w:t xml:space="preserve"> </w:t>
      </w:r>
      <w:r w:rsidRPr="009E1921">
        <w:rPr>
          <w:rFonts w:ascii="Times New Roman" w:eastAsia="Calibri" w:hAnsi="Times New Roman" w:cs="Times New Roman"/>
          <w:sz w:val="24"/>
          <w:szCs w:val="24"/>
          <w:lang w:val="es-MX"/>
        </w:rPr>
        <w:t xml:space="preserve">La triangulación metodológica con los datos cualitativos provenientes de las observaciones y entrevistas grupales de cierre permitió corroborar estos resultados. </w:t>
      </w:r>
    </w:p>
    <w:p w14:paraId="63734EB1" w14:textId="4B0B5BF9" w:rsidR="009E1921" w:rsidRDefault="00F4223A" w:rsidP="00DA34D9">
      <w:pPr>
        <w:widowControl w:val="0"/>
        <w:spacing w:line="360" w:lineRule="auto"/>
        <w:rPr>
          <w:rFonts w:ascii="Times New Roman" w:eastAsia="Calibri" w:hAnsi="Times New Roman" w:cs="Times New Roman"/>
          <w:sz w:val="24"/>
          <w:szCs w:val="24"/>
          <w:lang w:val="es-MX"/>
        </w:rPr>
      </w:pPr>
      <w:r>
        <w:rPr>
          <w:rFonts w:ascii="Times New Roman" w:eastAsia="Calibri" w:hAnsi="Times New Roman" w:cs="Times New Roman"/>
          <w:b/>
          <w:sz w:val="24"/>
          <w:szCs w:val="24"/>
          <w:lang w:val="es-MX"/>
        </w:rPr>
        <w:t>Discusión</w:t>
      </w:r>
    </w:p>
    <w:p w14:paraId="45303EAE"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Los resultados obtenidos demuestran la efectividad de la estrategia implementada para transformar el desempeño profesional de los pedagogos del CDO en el tratamiento </w:t>
      </w:r>
      <w:proofErr w:type="spellStart"/>
      <w:r w:rsidRPr="009E1921">
        <w:rPr>
          <w:rFonts w:ascii="Times New Roman" w:eastAsia="Calibri" w:hAnsi="Times New Roman" w:cs="Times New Roman"/>
          <w:sz w:val="24"/>
          <w:szCs w:val="24"/>
          <w:lang w:val="es-MX"/>
        </w:rPr>
        <w:t>neuroeducativo</w:t>
      </w:r>
      <w:proofErr w:type="spellEnd"/>
      <w:r w:rsidRPr="009E1921">
        <w:rPr>
          <w:rFonts w:ascii="Times New Roman" w:eastAsia="Calibri" w:hAnsi="Times New Roman" w:cs="Times New Roman"/>
          <w:sz w:val="24"/>
          <w:szCs w:val="24"/>
          <w:lang w:val="es-MX"/>
        </w:rPr>
        <w:t xml:space="preserve"> del TDAH. Las insuficiencias diagnosticadas inicialmente coinciden con lo planteado por otros autores acerca de la necesidad de actualizar la preparación de los especialistas del CDO en temáticas emergentes (Gómez, 2019; González, 2021). Sin embargo, la presente investigación aporta un elemento novedoso al centrarse específicamente en el TDAH y en la integración de la neuroeducación como eje articulador de la superación.</w:t>
      </w:r>
    </w:p>
    <w:p w14:paraId="7277A659" w14:textId="6EF29552"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Los fundamentos neurobiológicos del TDAH, abordados en el curso básico de la estrategia, permitieron a los pedagogos comprender que las manifestaciones conductuales del trastorno no responden a falta de voluntad o disciplina, sino a disfunciones en circuitos cerebrales implicados en la atención, el control inhibitorio y la</w:t>
      </w:r>
      <w:r w:rsidR="00525777">
        <w:rPr>
          <w:rFonts w:ascii="Times New Roman" w:eastAsia="Calibri" w:hAnsi="Times New Roman" w:cs="Times New Roman"/>
          <w:sz w:val="24"/>
          <w:szCs w:val="24"/>
          <w:lang w:val="es-MX"/>
        </w:rPr>
        <w:t xml:space="preserve"> autorregulación (Barkley, 2015</w:t>
      </w:r>
      <w:r w:rsidRPr="009E1921">
        <w:rPr>
          <w:rFonts w:ascii="Times New Roman" w:eastAsia="Calibri" w:hAnsi="Times New Roman" w:cs="Times New Roman"/>
          <w:sz w:val="24"/>
          <w:szCs w:val="24"/>
          <w:lang w:val="es-MX"/>
        </w:rPr>
        <w:t xml:space="preserve">). Esta comprensión, como expresaron los propios participantes, transformó su mirada sobre los educandos y las familias, </w:t>
      </w:r>
      <w:r w:rsidRPr="009E1921">
        <w:rPr>
          <w:rFonts w:ascii="Times New Roman" w:eastAsia="Calibri" w:hAnsi="Times New Roman" w:cs="Times New Roman"/>
          <w:sz w:val="24"/>
          <w:szCs w:val="24"/>
          <w:lang w:val="es-MX"/>
        </w:rPr>
        <w:lastRenderedPageBreak/>
        <w:t>generando una actitud más empática y fundamentada.</w:t>
      </w:r>
    </w:p>
    <w:p w14:paraId="6ACDDAC2"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La inclusión de módulos específicos sobre funciones ejecutivas resultó particularmente relevante, dado que el déficit en estas funciones constituye una de las características centrales del TDAH (Diamond, 2013). Los pedagogos aprendieron a identificar cuáles funciones ejecutivas (memoria de trabajo, inhibición, flexibilidad cognitiva, planificación) se encuentran más afectadas en cada educando, y a diseñar estrategias de orientación dirigidas a su estimulación, tanto en el contexto escolar como familiar. Este enfoque supera las aproximaciones puramente conductuales y se alinea con las recomendaciones de la neuroeducación contemporánea (Guillen, 2017).</w:t>
      </w:r>
    </w:p>
    <w:p w14:paraId="33FE1556" w14:textId="3F45D2C4"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Los talleres de socialización profesional, basados en el análisis de casos reales, constituyeron el espacio más valorado por los pedagogos. En ellos, la teoría </w:t>
      </w:r>
      <w:proofErr w:type="spellStart"/>
      <w:r w:rsidRPr="009E1921">
        <w:rPr>
          <w:rFonts w:ascii="Times New Roman" w:eastAsia="Calibri" w:hAnsi="Times New Roman" w:cs="Times New Roman"/>
          <w:sz w:val="24"/>
          <w:szCs w:val="24"/>
          <w:lang w:val="es-MX"/>
        </w:rPr>
        <w:t>neuroeducativa</w:t>
      </w:r>
      <w:proofErr w:type="spellEnd"/>
      <w:r w:rsidRPr="009E1921">
        <w:rPr>
          <w:rFonts w:ascii="Times New Roman" w:eastAsia="Calibri" w:hAnsi="Times New Roman" w:cs="Times New Roman"/>
          <w:sz w:val="24"/>
          <w:szCs w:val="24"/>
          <w:lang w:val="es-MX"/>
        </w:rPr>
        <w:t xml:space="preserve"> se puso en diálogo con la práctica concreta del CDO, permitiendo la construcción colectiva de conocimientos situados y contextualizados. Este hallazgo coincide con los postulados de la psicología histórico-cultural de Vigotsky, que enfatiza el papel de la interacción social y la mediación en los procesos de aprendizaje y desarro</w:t>
      </w:r>
      <w:r w:rsidR="000E5B71">
        <w:rPr>
          <w:rFonts w:ascii="Times New Roman" w:eastAsia="Calibri" w:hAnsi="Times New Roman" w:cs="Times New Roman"/>
          <w:sz w:val="24"/>
          <w:szCs w:val="24"/>
          <w:lang w:val="es-MX"/>
        </w:rPr>
        <w:t>llo profesional</w:t>
      </w:r>
      <w:r w:rsidRPr="009E1921">
        <w:rPr>
          <w:rFonts w:ascii="Times New Roman" w:eastAsia="Calibri" w:hAnsi="Times New Roman" w:cs="Times New Roman"/>
          <w:sz w:val="24"/>
          <w:szCs w:val="24"/>
          <w:lang w:val="es-MX"/>
        </w:rPr>
        <w:t>.</w:t>
      </w:r>
    </w:p>
    <w:p w14:paraId="59689270" w14:textId="09DA8A59"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La mejora significativa en la dimensión actitudinal merece un análisis particular. La etapa de sensibilización, fundamentada en el papel de la emoción como puerta de entrada al aprendizaje </w:t>
      </w:r>
      <w:r w:rsidR="00CD687F" w:rsidRPr="00CD687F">
        <w:rPr>
          <w:rFonts w:ascii="Times New Roman" w:eastAsia="Calibri" w:hAnsi="Times New Roman" w:cs="Times New Roman"/>
          <w:sz w:val="24"/>
          <w:szCs w:val="24"/>
          <w:lang w:val="es-MX"/>
        </w:rPr>
        <w:t>(Mora, 2021</w:t>
      </w:r>
      <w:r w:rsidRPr="00CD687F">
        <w:rPr>
          <w:rFonts w:ascii="Times New Roman" w:eastAsia="Calibri" w:hAnsi="Times New Roman" w:cs="Times New Roman"/>
          <w:sz w:val="24"/>
          <w:szCs w:val="24"/>
          <w:lang w:val="es-MX"/>
        </w:rPr>
        <w:t>),</w:t>
      </w:r>
      <w:r w:rsidRPr="009E1921">
        <w:rPr>
          <w:rFonts w:ascii="Times New Roman" w:eastAsia="Calibri" w:hAnsi="Times New Roman" w:cs="Times New Roman"/>
          <w:sz w:val="24"/>
          <w:szCs w:val="24"/>
          <w:lang w:val="es-MX"/>
        </w:rPr>
        <w:t xml:space="preserve"> logró conectar a los pedagogos con la temática a nivel afectivo. La percepción de que la neuroeducación no es un conocimiento abstracto, sino una herramienta práctica para resolver problemas concretos de su quehacer diario, generó motivación e implicación. Esto se evidenció en la participación activa en las actividades, en la calidad de los productos elaborados y en el compromiso manifestado para continuar profundizando.</w:t>
      </w:r>
    </w:p>
    <w:p w14:paraId="2FA1CB0B"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Los resultados del presente estudio se relacionan con investigaciones previas en el contexto cubano. </w:t>
      </w:r>
      <w:r w:rsidRPr="009E1921">
        <w:rPr>
          <w:rFonts w:ascii="Times New Roman" w:eastAsia="Calibri" w:hAnsi="Times New Roman" w:cs="Times New Roman"/>
          <w:sz w:val="24"/>
          <w:szCs w:val="24"/>
          <w:lang w:val="es-MX"/>
        </w:rPr>
        <w:lastRenderedPageBreak/>
        <w:t>Jiménez García, Perdomo Blanco y Sánchez León (2024) identificaron la necesidad de organizar el contexto educativo para la atención integral de escolares con TDAH, enfatizando la participación y comprensión de todos los agentes. La presente investigación aporta una vía concreta para lograr esa comprensión: la superación de los pedagogos del CDO, quienes, desde su rol asesor, pueden multiplicar estos conocimientos en docentes y familias.</w:t>
      </w:r>
    </w:p>
    <w:p w14:paraId="63BF6E96"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Asimismo, las experiencias reportadas en proyectos de neurodiversidad en Holguín (Network Cuba-UK, 2025), que han comenzado a implementar enfoques innovadores para estudiantes con TDAH, encuentran en esta estrategia un respaldo teórico-metodológico para su sistematización. La articulación entre la práctica innovadora y la fundamentación neurocientífica constituye un camino prometedor para la transformación educativa.</w:t>
      </w:r>
    </w:p>
    <w:p w14:paraId="6E93DD68"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Por otra parte, la propuesta de ejercicios psicopedagógicos para adolescentes con TDAH desarrollada por Monal Rodríguez (2016) puede ser enriquecida desde la perspectiva </w:t>
      </w:r>
      <w:proofErr w:type="spellStart"/>
      <w:r w:rsidRPr="009E1921">
        <w:rPr>
          <w:rFonts w:ascii="Times New Roman" w:eastAsia="Calibri" w:hAnsi="Times New Roman" w:cs="Times New Roman"/>
          <w:sz w:val="24"/>
          <w:szCs w:val="24"/>
          <w:lang w:val="es-MX"/>
        </w:rPr>
        <w:t>neuroeducativa</w:t>
      </w:r>
      <w:proofErr w:type="spellEnd"/>
      <w:r w:rsidRPr="009E1921">
        <w:rPr>
          <w:rFonts w:ascii="Times New Roman" w:eastAsia="Calibri" w:hAnsi="Times New Roman" w:cs="Times New Roman"/>
          <w:sz w:val="24"/>
          <w:szCs w:val="24"/>
          <w:lang w:val="es-MX"/>
        </w:rPr>
        <w:t>, incorporando la fundamentación sobre los procesos cerebrales que subyacen a cada ejercicio y las adaptaciones necesarias según las características neurocognitivas de cada educando.</w:t>
      </w:r>
    </w:p>
    <w:p w14:paraId="323A9393" w14:textId="7FE5C19B"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Una limitación del estudio que debe reconocerse es el tamaño reducido de la muestra, circunscrita a una sola provincia. Esto limita la generalización de los resultados a otros contextos. Sin embargo, la profundidad del abordaje cualitativo y la significación estadística de los cambios observados otorgan validez interna a la investigación y sugieren su potencial aplicabilidad en contextos similares, con las adecuaciones necesarias.</w:t>
      </w:r>
    </w:p>
    <w:p w14:paraId="0C3C49BE" w14:textId="77777777" w:rsidR="009E1921" w:rsidRPr="009E1921" w:rsidRDefault="009E1921" w:rsidP="009E1921">
      <w:pPr>
        <w:widowControl w:val="0"/>
        <w:spacing w:line="360" w:lineRule="auto"/>
        <w:jc w:val="both"/>
        <w:rPr>
          <w:rFonts w:ascii="Times New Roman" w:eastAsia="Calibri" w:hAnsi="Times New Roman" w:cs="Times New Roman"/>
          <w:sz w:val="24"/>
          <w:szCs w:val="24"/>
          <w:lang w:val="es-MX"/>
        </w:rPr>
      </w:pPr>
      <w:r w:rsidRPr="009E1921">
        <w:rPr>
          <w:rFonts w:ascii="Times New Roman" w:eastAsia="Calibri" w:hAnsi="Times New Roman" w:cs="Times New Roman"/>
          <w:sz w:val="24"/>
          <w:szCs w:val="24"/>
          <w:lang w:val="es-MX"/>
        </w:rPr>
        <w:t xml:space="preserve">Otra limitación se relaciona con el tiempo de seguimiento posterior a la intervención. Si bien se realizó una evaluación de impacto a corto plazo, sería necesario prolongar el período de observación para constatar la permanencia de los cambios en el desempeño profesional y su traducción en </w:t>
      </w:r>
      <w:r w:rsidRPr="009E1921">
        <w:rPr>
          <w:rFonts w:ascii="Times New Roman" w:eastAsia="Calibri" w:hAnsi="Times New Roman" w:cs="Times New Roman"/>
          <w:sz w:val="24"/>
          <w:szCs w:val="24"/>
          <w:lang w:val="es-MX"/>
        </w:rPr>
        <w:lastRenderedPageBreak/>
        <w:t>mejoras sostenidas en la calidad del proceso de orientación y seguimiento de educandos con TDAH.</w:t>
      </w:r>
    </w:p>
    <w:p w14:paraId="52233B24" w14:textId="60D3EBFB" w:rsidR="00054E02" w:rsidRDefault="00F4223A" w:rsidP="0056471F">
      <w:pPr>
        <w:widowControl w:val="0"/>
        <w:spacing w:line="360" w:lineRule="auto"/>
        <w:jc w:val="center"/>
        <w:rPr>
          <w:rFonts w:ascii="Times New Roman" w:eastAsia="Calibri" w:hAnsi="Times New Roman" w:cs="Times New Roman"/>
          <w:b/>
          <w:sz w:val="24"/>
          <w:lang w:val="es-MX"/>
        </w:rPr>
      </w:pPr>
      <w:r>
        <w:rPr>
          <w:rFonts w:ascii="Times New Roman" w:eastAsia="Calibri" w:hAnsi="Times New Roman" w:cs="Times New Roman"/>
          <w:b/>
          <w:sz w:val="24"/>
          <w:lang w:val="es-MX"/>
        </w:rPr>
        <w:t>CONCLUSIONES</w:t>
      </w:r>
    </w:p>
    <w:p w14:paraId="03382BD5" w14:textId="77777777" w:rsidR="00864772" w:rsidRPr="006E2E96" w:rsidRDefault="00864772" w:rsidP="00864772">
      <w:pPr>
        <w:widowControl w:val="0"/>
        <w:spacing w:line="360" w:lineRule="auto"/>
        <w:jc w:val="both"/>
        <w:rPr>
          <w:rFonts w:ascii="Times New Roman" w:eastAsia="Calibri" w:hAnsi="Times New Roman" w:cs="Times New Roman"/>
          <w:sz w:val="24"/>
          <w:szCs w:val="24"/>
          <w:lang w:val="es-MX"/>
        </w:rPr>
      </w:pPr>
      <w:r w:rsidRPr="006E2E96">
        <w:rPr>
          <w:rFonts w:ascii="Times New Roman" w:eastAsia="Calibri" w:hAnsi="Times New Roman" w:cs="Times New Roman"/>
          <w:sz w:val="24"/>
          <w:szCs w:val="24"/>
          <w:lang w:val="es-MX"/>
        </w:rPr>
        <w:t xml:space="preserve">La investigación realizada permitió constatar la pertinencia y necesidad de implementar procesos de superación profesional dirigidos específicamente a los pedagogos de los Centros de Diagnóstico y Orientación en el tratamiento </w:t>
      </w:r>
      <w:proofErr w:type="spellStart"/>
      <w:r w:rsidRPr="006E2E96">
        <w:rPr>
          <w:rFonts w:ascii="Times New Roman" w:eastAsia="Calibri" w:hAnsi="Times New Roman" w:cs="Times New Roman"/>
          <w:sz w:val="24"/>
          <w:szCs w:val="24"/>
          <w:lang w:val="es-MX"/>
        </w:rPr>
        <w:t>neuroeducativo</w:t>
      </w:r>
      <w:proofErr w:type="spellEnd"/>
      <w:r w:rsidRPr="006E2E96">
        <w:rPr>
          <w:rFonts w:ascii="Times New Roman" w:eastAsia="Calibri" w:hAnsi="Times New Roman" w:cs="Times New Roman"/>
          <w:sz w:val="24"/>
          <w:szCs w:val="24"/>
          <w:lang w:val="es-MX"/>
        </w:rPr>
        <w:t xml:space="preserve"> del Trastorno por Déficit de Atención e Hiperactividad. El diagnóstico inicial evidenció insuficiencias significativas en los conocimientos teóricos sobre neuroeducación y TDAH, en las habilidades para aplicar estos conocimientos en el proceso de orientación y seguimiento, y en la motivación e implicación hacia la temática, lo que justificó la intervención realizada.</w:t>
      </w:r>
    </w:p>
    <w:p w14:paraId="2FA6D59A" w14:textId="77777777" w:rsidR="00864772" w:rsidRPr="006E2E96" w:rsidRDefault="00864772" w:rsidP="00864772">
      <w:pPr>
        <w:widowControl w:val="0"/>
        <w:spacing w:line="360" w:lineRule="auto"/>
        <w:jc w:val="both"/>
        <w:rPr>
          <w:rFonts w:ascii="Times New Roman" w:eastAsia="Calibri" w:hAnsi="Times New Roman" w:cs="Times New Roman"/>
          <w:sz w:val="24"/>
          <w:szCs w:val="24"/>
          <w:lang w:val="es-MX"/>
        </w:rPr>
      </w:pPr>
      <w:r w:rsidRPr="006E2E96">
        <w:rPr>
          <w:rFonts w:ascii="Times New Roman" w:eastAsia="Calibri" w:hAnsi="Times New Roman" w:cs="Times New Roman"/>
          <w:sz w:val="24"/>
          <w:szCs w:val="24"/>
          <w:lang w:val="es-MX"/>
        </w:rPr>
        <w:t xml:space="preserve">La estrategia de superación profesional diseñada, estructurada en cuatro etapas interrelacionadas (diagnóstico, sensibilización, ejecución y evaluación) y fundamentada en los aportes de la Educación Avanzada, el enfoque histórico-cultural y la neuroeducación contemporánea, demostró su efectividad para transformar el desempeño profesional de los pedagogos. La integración de núcleos teóricos (neurobiología del TDAH, funciones ejecutivas, emoción y aprendizaje) con núcleos prácticos (análisis de casos, talleres de socialización, </w:t>
      </w:r>
      <w:proofErr w:type="spellStart"/>
      <w:r w:rsidRPr="006E2E96">
        <w:rPr>
          <w:rFonts w:ascii="Times New Roman" w:eastAsia="Calibri" w:hAnsi="Times New Roman" w:cs="Times New Roman"/>
          <w:sz w:val="24"/>
          <w:szCs w:val="24"/>
          <w:lang w:val="es-MX"/>
        </w:rPr>
        <w:t>autopreparación</w:t>
      </w:r>
      <w:proofErr w:type="spellEnd"/>
      <w:r w:rsidRPr="006E2E96">
        <w:rPr>
          <w:rFonts w:ascii="Times New Roman" w:eastAsia="Calibri" w:hAnsi="Times New Roman" w:cs="Times New Roman"/>
          <w:sz w:val="24"/>
          <w:szCs w:val="24"/>
          <w:lang w:val="es-MX"/>
        </w:rPr>
        <w:t xml:space="preserve"> investigativa) permitió una apropiación significativa y contextualizada de los contenidos.</w:t>
      </w:r>
    </w:p>
    <w:p w14:paraId="3D10E9E1" w14:textId="4B6DD4A8" w:rsidR="00864772" w:rsidRPr="006E2E96" w:rsidRDefault="00864772" w:rsidP="00864772">
      <w:pPr>
        <w:widowControl w:val="0"/>
        <w:spacing w:line="360" w:lineRule="auto"/>
        <w:jc w:val="both"/>
        <w:rPr>
          <w:rFonts w:ascii="Times New Roman" w:eastAsia="Calibri" w:hAnsi="Times New Roman" w:cs="Times New Roman"/>
          <w:sz w:val="24"/>
          <w:szCs w:val="24"/>
          <w:lang w:val="es-MX"/>
        </w:rPr>
      </w:pPr>
      <w:r w:rsidRPr="006E2E96">
        <w:rPr>
          <w:rFonts w:ascii="Times New Roman" w:eastAsia="Calibri" w:hAnsi="Times New Roman" w:cs="Times New Roman"/>
          <w:sz w:val="24"/>
          <w:szCs w:val="24"/>
          <w:lang w:val="es-MX"/>
        </w:rPr>
        <w:t xml:space="preserve">La validación teórica mediante criterio de expertos y la constatación empírica a través del </w:t>
      </w:r>
      <w:proofErr w:type="spellStart"/>
      <w:r w:rsidRPr="006E2E96">
        <w:rPr>
          <w:rFonts w:ascii="Times New Roman" w:eastAsia="Calibri" w:hAnsi="Times New Roman" w:cs="Times New Roman"/>
          <w:sz w:val="24"/>
          <w:szCs w:val="24"/>
          <w:lang w:val="es-MX"/>
        </w:rPr>
        <w:t>pre-experimento</w:t>
      </w:r>
      <w:proofErr w:type="spellEnd"/>
      <w:r w:rsidRPr="006E2E96">
        <w:rPr>
          <w:rFonts w:ascii="Times New Roman" w:eastAsia="Calibri" w:hAnsi="Times New Roman" w:cs="Times New Roman"/>
          <w:sz w:val="24"/>
          <w:szCs w:val="24"/>
          <w:lang w:val="es-MX"/>
        </w:rPr>
        <w:t xml:space="preserve"> pedagógico confirmaron la viabilidad y efectividad de la propuesta. Los cambios estadísticamente significativos en las dimensiones cognitiva, procedimental y actitudinal, junto con la valoración positiva de los propios pedagogos participantes, avalan la contribución de la estrategia a la optimización del proceso de orientación y seguimiento de educandos con TDAH desde una perspectiva </w:t>
      </w:r>
      <w:proofErr w:type="spellStart"/>
      <w:r w:rsidRPr="006E2E96">
        <w:rPr>
          <w:rFonts w:ascii="Times New Roman" w:eastAsia="Calibri" w:hAnsi="Times New Roman" w:cs="Times New Roman"/>
          <w:sz w:val="24"/>
          <w:szCs w:val="24"/>
          <w:lang w:val="es-MX"/>
        </w:rPr>
        <w:t>neuroeducativa</w:t>
      </w:r>
      <w:proofErr w:type="spellEnd"/>
      <w:r w:rsidRPr="006E2E96">
        <w:rPr>
          <w:rFonts w:ascii="Times New Roman" w:eastAsia="Calibri" w:hAnsi="Times New Roman" w:cs="Times New Roman"/>
          <w:sz w:val="24"/>
          <w:szCs w:val="24"/>
          <w:lang w:val="es-MX"/>
        </w:rPr>
        <w:t>.</w:t>
      </w:r>
    </w:p>
    <w:p w14:paraId="2E701D30" w14:textId="309EF932" w:rsidR="00054E02" w:rsidRDefault="00F4223A">
      <w:pPr>
        <w:widowControl w:val="0"/>
        <w:spacing w:line="360" w:lineRule="auto"/>
        <w:jc w:val="center"/>
        <w:rPr>
          <w:rFonts w:ascii="Times New Roman" w:eastAsia="Calibri" w:hAnsi="Times New Roman" w:cs="Times New Roman"/>
          <w:b/>
          <w:sz w:val="28"/>
          <w:szCs w:val="24"/>
          <w:lang w:val="es-MX"/>
        </w:rPr>
      </w:pPr>
      <w:r>
        <w:rPr>
          <w:rFonts w:ascii="Times New Roman" w:eastAsia="Calibri" w:hAnsi="Times New Roman" w:cs="Times New Roman"/>
          <w:b/>
          <w:sz w:val="28"/>
          <w:szCs w:val="24"/>
          <w:lang w:val="es-MX"/>
        </w:rPr>
        <w:lastRenderedPageBreak/>
        <w:t>REFERENCIAS BIBLIOGRÁFICAS</w:t>
      </w:r>
    </w:p>
    <w:p w14:paraId="4CD183E8"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n-US"/>
        </w:rPr>
        <w:t xml:space="preserve">American Psychiatric Association. (2022). </w:t>
      </w:r>
      <w:r w:rsidRPr="004517D6">
        <w:rPr>
          <w:rFonts w:ascii="Times New Roman" w:eastAsia="Calibri" w:hAnsi="Times New Roman" w:cs="Times New Roman"/>
          <w:i/>
          <w:iCs/>
          <w:sz w:val="24"/>
          <w:szCs w:val="24"/>
          <w:lang w:val="en-US"/>
        </w:rPr>
        <w:t>Diagnostic and statistical manual of mental disorders</w:t>
      </w:r>
      <w:r w:rsidRPr="004517D6">
        <w:rPr>
          <w:rFonts w:ascii="Times New Roman" w:eastAsia="Calibri" w:hAnsi="Times New Roman" w:cs="Times New Roman"/>
          <w:sz w:val="24"/>
          <w:szCs w:val="24"/>
          <w:lang w:val="en-US"/>
        </w:rPr>
        <w:t xml:space="preserve"> (5th ed., text rev.). </w:t>
      </w:r>
      <w:r w:rsidRPr="004517D6">
        <w:rPr>
          <w:rFonts w:ascii="Times New Roman" w:eastAsia="Calibri" w:hAnsi="Times New Roman" w:cs="Times New Roman"/>
          <w:sz w:val="24"/>
          <w:szCs w:val="24"/>
          <w:lang w:val="es-MX"/>
        </w:rPr>
        <w:t>https://doi.org/10.1176/appi.books.9780890425787</w:t>
      </w:r>
    </w:p>
    <w:p w14:paraId="635A06F9" w14:textId="428207F4"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n-US"/>
        </w:rPr>
      </w:pPr>
      <w:r w:rsidRPr="004517D6">
        <w:rPr>
          <w:rFonts w:ascii="Times New Roman" w:eastAsia="Calibri" w:hAnsi="Times New Roman" w:cs="Times New Roman"/>
          <w:sz w:val="24"/>
          <w:szCs w:val="24"/>
          <w:lang w:val="es-MX"/>
        </w:rPr>
        <w:t xml:space="preserve">Arrieta, D. (2023). </w:t>
      </w:r>
      <w:r w:rsidRPr="004517D6">
        <w:rPr>
          <w:rFonts w:ascii="Times New Roman" w:eastAsia="Calibri" w:hAnsi="Times New Roman" w:cs="Times New Roman"/>
          <w:i/>
          <w:iCs/>
          <w:sz w:val="24"/>
          <w:szCs w:val="24"/>
          <w:lang w:val="es-MX"/>
        </w:rPr>
        <w:t xml:space="preserve">La superación de los especialistas del Equipo Técnico Asesor del CDO en el conocimiento de la Genética Médica para el diagnóstico </w:t>
      </w:r>
      <w:proofErr w:type="gramStart"/>
      <w:r w:rsidRPr="004517D6">
        <w:rPr>
          <w:rFonts w:ascii="Times New Roman" w:eastAsia="Calibri" w:hAnsi="Times New Roman" w:cs="Times New Roman"/>
          <w:i/>
          <w:iCs/>
          <w:sz w:val="24"/>
          <w:szCs w:val="24"/>
          <w:lang w:val="es-MX"/>
        </w:rPr>
        <w:t>psicopedagógico</w:t>
      </w:r>
      <w:r w:rsidRPr="004517D6">
        <w:rPr>
          <w:rFonts w:ascii="Times New Roman" w:eastAsia="Calibri" w:hAnsi="Times New Roman" w:cs="Times New Roman"/>
          <w:sz w:val="24"/>
          <w:szCs w:val="24"/>
          <w:lang w:val="es-MX"/>
        </w:rPr>
        <w:t xml:space="preserve"> </w:t>
      </w:r>
      <w:r w:rsidR="004517D6">
        <w:rPr>
          <w:rFonts w:ascii="Times New Roman" w:eastAsia="Calibri" w:hAnsi="Times New Roman" w:cs="Times New Roman"/>
          <w:sz w:val="24"/>
          <w:szCs w:val="24"/>
          <w:lang w:val="es-MX"/>
        </w:rPr>
        <w:t>.</w:t>
      </w:r>
      <w:r w:rsidRPr="004517D6">
        <w:rPr>
          <w:rFonts w:ascii="Times New Roman" w:eastAsia="Calibri" w:hAnsi="Times New Roman" w:cs="Times New Roman"/>
          <w:sz w:val="24"/>
          <w:szCs w:val="24"/>
          <w:lang w:val="es-MX"/>
        </w:rPr>
        <w:t>Tesis</w:t>
      </w:r>
      <w:proofErr w:type="gramEnd"/>
      <w:r w:rsidRPr="004517D6">
        <w:rPr>
          <w:rFonts w:ascii="Times New Roman" w:eastAsia="Calibri" w:hAnsi="Times New Roman" w:cs="Times New Roman"/>
          <w:sz w:val="24"/>
          <w:szCs w:val="24"/>
          <w:lang w:val="es-MX"/>
        </w:rPr>
        <w:t xml:space="preserve"> doctoral inédita. </w:t>
      </w:r>
      <w:r w:rsidRPr="004517D6">
        <w:rPr>
          <w:rFonts w:ascii="Times New Roman" w:eastAsia="Calibri" w:hAnsi="Times New Roman" w:cs="Times New Roman"/>
          <w:sz w:val="24"/>
          <w:szCs w:val="24"/>
          <w:lang w:val="en-US"/>
        </w:rPr>
        <w:t>Universidad de Camagüey.</w:t>
      </w:r>
    </w:p>
    <w:p w14:paraId="07FC36C0" w14:textId="33AEABEC"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n-US"/>
        </w:rPr>
        <w:t xml:space="preserve">Barkley, R. A. (2015). </w:t>
      </w:r>
      <w:r w:rsidRPr="004517D6">
        <w:rPr>
          <w:rFonts w:ascii="Times New Roman" w:eastAsia="Calibri" w:hAnsi="Times New Roman" w:cs="Times New Roman"/>
          <w:i/>
          <w:iCs/>
          <w:sz w:val="24"/>
          <w:szCs w:val="24"/>
          <w:lang w:val="en-US"/>
        </w:rPr>
        <w:t>Attention-Deficit Hyperactivity Disorder: A handbook for diagnosis and treatmen</w:t>
      </w:r>
      <w:r w:rsidRPr="004517D6">
        <w:rPr>
          <w:rFonts w:ascii="Times New Roman" w:eastAsia="Calibri" w:hAnsi="Times New Roman" w:cs="Times New Roman"/>
          <w:sz w:val="24"/>
          <w:szCs w:val="24"/>
          <w:lang w:val="en-US"/>
        </w:rPr>
        <w:t xml:space="preserve">t (4th ed.). </w:t>
      </w:r>
      <w:r w:rsidRPr="004517D6">
        <w:rPr>
          <w:rFonts w:ascii="Times New Roman" w:eastAsia="Calibri" w:hAnsi="Times New Roman" w:cs="Times New Roman"/>
          <w:sz w:val="24"/>
          <w:szCs w:val="24"/>
          <w:lang w:val="es-MX"/>
        </w:rPr>
        <w:t>Guilford Press.</w:t>
      </w:r>
    </w:p>
    <w:p w14:paraId="337C8D92" w14:textId="18DE95D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n-US"/>
        </w:rPr>
      </w:pPr>
      <w:r w:rsidRPr="004517D6">
        <w:rPr>
          <w:rFonts w:ascii="Times New Roman" w:eastAsia="Calibri" w:hAnsi="Times New Roman" w:cs="Times New Roman"/>
          <w:sz w:val="24"/>
          <w:szCs w:val="24"/>
          <w:lang w:val="en-US"/>
        </w:rPr>
        <w:t xml:space="preserve">Diamond, A. (2013). </w:t>
      </w:r>
      <w:r w:rsidRPr="004517D6">
        <w:rPr>
          <w:rFonts w:ascii="Times New Roman" w:eastAsia="Calibri" w:hAnsi="Times New Roman" w:cs="Times New Roman"/>
          <w:i/>
          <w:iCs/>
          <w:sz w:val="24"/>
          <w:szCs w:val="24"/>
          <w:lang w:val="en-US"/>
        </w:rPr>
        <w:t>Executive functions. Annual Review of Psychology</w:t>
      </w:r>
      <w:r w:rsidRPr="004517D6">
        <w:rPr>
          <w:rFonts w:ascii="Times New Roman" w:eastAsia="Calibri" w:hAnsi="Times New Roman" w:cs="Times New Roman"/>
          <w:sz w:val="24"/>
          <w:szCs w:val="24"/>
          <w:lang w:val="en-US"/>
        </w:rPr>
        <w:t>, 64, 135-168. https://doi.org/10.1146/annurev-psych-113011-143750</w:t>
      </w:r>
    </w:p>
    <w:p w14:paraId="4C4FD96E"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proofErr w:type="spellStart"/>
      <w:r w:rsidRPr="004517D6">
        <w:rPr>
          <w:rFonts w:ascii="Times New Roman" w:eastAsia="Calibri" w:hAnsi="Times New Roman" w:cs="Times New Roman"/>
          <w:sz w:val="24"/>
          <w:szCs w:val="24"/>
          <w:lang w:val="es-MX"/>
        </w:rPr>
        <w:t>Forés</w:t>
      </w:r>
      <w:proofErr w:type="spellEnd"/>
      <w:r w:rsidRPr="004517D6">
        <w:rPr>
          <w:rFonts w:ascii="Times New Roman" w:eastAsia="Calibri" w:hAnsi="Times New Roman" w:cs="Times New Roman"/>
          <w:sz w:val="24"/>
          <w:szCs w:val="24"/>
          <w:lang w:val="es-MX"/>
        </w:rPr>
        <w:t xml:space="preserve">, A. (2021). </w:t>
      </w:r>
      <w:proofErr w:type="spellStart"/>
      <w:r w:rsidRPr="004517D6">
        <w:rPr>
          <w:rFonts w:ascii="Times New Roman" w:eastAsia="Calibri" w:hAnsi="Times New Roman" w:cs="Times New Roman"/>
          <w:i/>
          <w:iCs/>
          <w:sz w:val="24"/>
          <w:szCs w:val="24"/>
          <w:lang w:val="es-MX"/>
        </w:rPr>
        <w:t>Neuromitos</w:t>
      </w:r>
      <w:proofErr w:type="spellEnd"/>
      <w:r w:rsidRPr="004517D6">
        <w:rPr>
          <w:rFonts w:ascii="Times New Roman" w:eastAsia="Calibri" w:hAnsi="Times New Roman" w:cs="Times New Roman"/>
          <w:i/>
          <w:iCs/>
          <w:sz w:val="24"/>
          <w:szCs w:val="24"/>
          <w:lang w:val="es-MX"/>
        </w:rPr>
        <w:t xml:space="preserve"> en educación: el aprendizaje desde la neurociencia.</w:t>
      </w:r>
      <w:r w:rsidRPr="004517D6">
        <w:rPr>
          <w:rFonts w:ascii="Times New Roman" w:eastAsia="Calibri" w:hAnsi="Times New Roman" w:cs="Times New Roman"/>
          <w:sz w:val="24"/>
          <w:szCs w:val="24"/>
          <w:lang w:val="es-MX"/>
        </w:rPr>
        <w:t xml:space="preserve"> Plataforma Editorial.</w:t>
      </w:r>
    </w:p>
    <w:p w14:paraId="126F2222"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Gómez, E. (2019). </w:t>
      </w:r>
      <w:r w:rsidRPr="004517D6">
        <w:rPr>
          <w:rFonts w:ascii="Times New Roman" w:eastAsia="Calibri" w:hAnsi="Times New Roman" w:cs="Times New Roman"/>
          <w:i/>
          <w:iCs/>
          <w:sz w:val="24"/>
          <w:szCs w:val="24"/>
          <w:lang w:val="es-MX"/>
        </w:rPr>
        <w:t>La superación profesional del trabajador social del Centro de Diagnóstico y Orientación para la orientación familiar en educandos con disfasia</w:t>
      </w:r>
      <w:r w:rsidRPr="004517D6">
        <w:rPr>
          <w:rFonts w:ascii="Times New Roman" w:eastAsia="Calibri" w:hAnsi="Times New Roman" w:cs="Times New Roman"/>
          <w:sz w:val="24"/>
          <w:szCs w:val="24"/>
          <w:lang w:val="es-MX"/>
        </w:rPr>
        <w:t xml:space="preserve"> [Tesis doctoral inédita]. Universidad de Camagüey.</w:t>
      </w:r>
    </w:p>
    <w:p w14:paraId="7990F721" w14:textId="3EEFA2B4"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González, L. (2021). </w:t>
      </w:r>
      <w:r w:rsidRPr="004517D6">
        <w:rPr>
          <w:rFonts w:ascii="Times New Roman" w:eastAsia="Calibri" w:hAnsi="Times New Roman" w:cs="Times New Roman"/>
          <w:i/>
          <w:iCs/>
          <w:sz w:val="24"/>
          <w:szCs w:val="24"/>
          <w:lang w:val="es-MX"/>
        </w:rPr>
        <w:t xml:space="preserve">La superación profesional del psicólogo del CDO en la atención educativa a educandos con trastorno de hiperactividad y déficit </w:t>
      </w:r>
      <w:proofErr w:type="spellStart"/>
      <w:r w:rsidRPr="004517D6">
        <w:rPr>
          <w:rFonts w:ascii="Times New Roman" w:eastAsia="Calibri" w:hAnsi="Times New Roman" w:cs="Times New Roman"/>
          <w:i/>
          <w:iCs/>
          <w:sz w:val="24"/>
          <w:szCs w:val="24"/>
          <w:lang w:val="es-MX"/>
        </w:rPr>
        <w:t>atentivo</w:t>
      </w:r>
      <w:proofErr w:type="spellEnd"/>
      <w:r w:rsidRPr="004517D6">
        <w:rPr>
          <w:rFonts w:ascii="Times New Roman" w:eastAsia="Calibri" w:hAnsi="Times New Roman" w:cs="Times New Roman"/>
          <w:sz w:val="24"/>
          <w:szCs w:val="24"/>
          <w:lang w:val="es-MX"/>
        </w:rPr>
        <w:t xml:space="preserve"> [Tesis doctoral inédita]. Universidad de Camagüey. </w:t>
      </w:r>
    </w:p>
    <w:p w14:paraId="57A0E633"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González, Y. (2020). </w:t>
      </w:r>
      <w:r w:rsidRPr="004517D6">
        <w:rPr>
          <w:rFonts w:ascii="Times New Roman" w:eastAsia="Calibri" w:hAnsi="Times New Roman" w:cs="Times New Roman"/>
          <w:i/>
          <w:iCs/>
          <w:sz w:val="24"/>
          <w:szCs w:val="24"/>
          <w:lang w:val="es-MX"/>
        </w:rPr>
        <w:t>Estrategia de superación profesional para los psicopedagogos en la atención a la diversidad.</w:t>
      </w:r>
      <w:r w:rsidRPr="004517D6">
        <w:rPr>
          <w:rFonts w:ascii="Times New Roman" w:eastAsia="Calibri" w:hAnsi="Times New Roman" w:cs="Times New Roman"/>
          <w:sz w:val="24"/>
          <w:szCs w:val="24"/>
          <w:lang w:val="es-MX"/>
        </w:rPr>
        <w:t xml:space="preserve"> Editorial Académica Española.</w:t>
      </w:r>
    </w:p>
    <w:p w14:paraId="407F8830" w14:textId="780AF689"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Guillen, J. C. (2017). </w:t>
      </w:r>
      <w:r w:rsidRPr="004517D6">
        <w:rPr>
          <w:rFonts w:ascii="Times New Roman" w:eastAsia="Calibri" w:hAnsi="Times New Roman" w:cs="Times New Roman"/>
          <w:i/>
          <w:iCs/>
          <w:sz w:val="24"/>
          <w:szCs w:val="24"/>
          <w:lang w:val="es-MX"/>
        </w:rPr>
        <w:t>Neuroeducación en el aula: de la teoría a la práctica</w:t>
      </w:r>
      <w:r w:rsidRPr="004517D6">
        <w:rPr>
          <w:rFonts w:ascii="Times New Roman" w:eastAsia="Calibri" w:hAnsi="Times New Roman" w:cs="Times New Roman"/>
          <w:sz w:val="24"/>
          <w:szCs w:val="24"/>
          <w:lang w:val="es-MX"/>
        </w:rPr>
        <w:t xml:space="preserve">. </w:t>
      </w:r>
      <w:proofErr w:type="spellStart"/>
      <w:r w:rsidRPr="004517D6">
        <w:rPr>
          <w:rFonts w:ascii="Times New Roman" w:eastAsia="Calibri" w:hAnsi="Times New Roman" w:cs="Times New Roman"/>
          <w:sz w:val="24"/>
          <w:szCs w:val="24"/>
          <w:lang w:val="es-MX"/>
        </w:rPr>
        <w:t>CreateSpace</w:t>
      </w:r>
      <w:proofErr w:type="spellEnd"/>
      <w:r w:rsidRPr="004517D6">
        <w:rPr>
          <w:rFonts w:ascii="Times New Roman" w:eastAsia="Calibri" w:hAnsi="Times New Roman" w:cs="Times New Roman"/>
          <w:sz w:val="24"/>
          <w:szCs w:val="24"/>
          <w:lang w:val="es-MX"/>
        </w:rPr>
        <w:t>.</w:t>
      </w:r>
    </w:p>
    <w:p w14:paraId="2B580153"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Jiménez García, A., Perdomo Blanco, L., y Sánchez León, A. (2024). </w:t>
      </w:r>
      <w:r w:rsidRPr="004517D6">
        <w:rPr>
          <w:rFonts w:ascii="Times New Roman" w:eastAsia="Calibri" w:hAnsi="Times New Roman" w:cs="Times New Roman"/>
          <w:i/>
          <w:iCs/>
          <w:sz w:val="24"/>
          <w:szCs w:val="24"/>
          <w:lang w:val="es-MX"/>
        </w:rPr>
        <w:t>La atención al escolar con trastorno por déficit atencional e hiperactividad en un contexto inclusivo</w:t>
      </w:r>
      <w:r w:rsidRPr="004517D6">
        <w:rPr>
          <w:rFonts w:ascii="Times New Roman" w:eastAsia="Calibri" w:hAnsi="Times New Roman" w:cs="Times New Roman"/>
          <w:sz w:val="24"/>
          <w:szCs w:val="24"/>
          <w:lang w:val="es-MX"/>
        </w:rPr>
        <w:t xml:space="preserve">. Conrado, </w:t>
      </w:r>
      <w:r w:rsidRPr="004517D6">
        <w:rPr>
          <w:rFonts w:ascii="Times New Roman" w:eastAsia="Calibri" w:hAnsi="Times New Roman" w:cs="Times New Roman"/>
          <w:sz w:val="24"/>
          <w:szCs w:val="24"/>
          <w:lang w:val="es-MX"/>
        </w:rPr>
        <w:lastRenderedPageBreak/>
        <w:t>20(98), 188-196.</w:t>
      </w:r>
    </w:p>
    <w:p w14:paraId="71C98A11"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Mesa, M. (2006). </w:t>
      </w:r>
      <w:r w:rsidRPr="004517D6">
        <w:rPr>
          <w:rFonts w:ascii="Times New Roman" w:eastAsia="Calibri" w:hAnsi="Times New Roman" w:cs="Times New Roman"/>
          <w:i/>
          <w:iCs/>
          <w:sz w:val="24"/>
          <w:szCs w:val="24"/>
          <w:lang w:val="es-MX"/>
        </w:rPr>
        <w:t xml:space="preserve">El Centro de Diagnóstico y Orientación: su misión en el Sistema Nacional de Educación. </w:t>
      </w:r>
      <w:r w:rsidRPr="004517D6">
        <w:rPr>
          <w:rFonts w:ascii="Times New Roman" w:eastAsia="Calibri" w:hAnsi="Times New Roman" w:cs="Times New Roman"/>
          <w:sz w:val="24"/>
          <w:szCs w:val="24"/>
          <w:lang w:val="es-MX"/>
        </w:rPr>
        <w:t>Pueblo y Educación.</w:t>
      </w:r>
    </w:p>
    <w:p w14:paraId="54DCA5AD" w14:textId="3A83009E"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Monal Rodríguez, M. (2016). </w:t>
      </w:r>
      <w:r w:rsidRPr="004517D6">
        <w:rPr>
          <w:rFonts w:ascii="Times New Roman" w:eastAsia="Calibri" w:hAnsi="Times New Roman" w:cs="Times New Roman"/>
          <w:i/>
          <w:iCs/>
          <w:sz w:val="24"/>
          <w:szCs w:val="24"/>
          <w:lang w:val="es-MX"/>
        </w:rPr>
        <w:t xml:space="preserve">Propuesta de ejercicios psicopedagógicos para la atención de adolescentes con Trastornos por Déficit de Atención e </w:t>
      </w:r>
      <w:r w:rsidR="004517D6" w:rsidRPr="004517D6">
        <w:rPr>
          <w:rFonts w:ascii="Times New Roman" w:eastAsia="Calibri" w:hAnsi="Times New Roman" w:cs="Times New Roman"/>
          <w:i/>
          <w:iCs/>
          <w:sz w:val="24"/>
          <w:szCs w:val="24"/>
          <w:lang w:val="es-MX"/>
        </w:rPr>
        <w:t>Hiperactividad</w:t>
      </w:r>
      <w:r w:rsidR="004517D6" w:rsidRPr="004517D6">
        <w:rPr>
          <w:rFonts w:ascii="Times New Roman" w:eastAsia="Calibri" w:hAnsi="Times New Roman" w:cs="Times New Roman"/>
          <w:sz w:val="24"/>
          <w:szCs w:val="24"/>
          <w:lang w:val="es-MX"/>
        </w:rPr>
        <w:t>.</w:t>
      </w:r>
      <w:r w:rsidR="004517D6">
        <w:rPr>
          <w:rFonts w:ascii="Times New Roman" w:eastAsia="Calibri" w:hAnsi="Times New Roman" w:cs="Times New Roman"/>
          <w:sz w:val="24"/>
          <w:szCs w:val="24"/>
          <w:lang w:val="es-MX"/>
        </w:rPr>
        <w:t xml:space="preserve"> </w:t>
      </w:r>
      <w:r w:rsidRPr="004517D6">
        <w:rPr>
          <w:rFonts w:ascii="Times New Roman" w:eastAsia="Calibri" w:hAnsi="Times New Roman" w:cs="Times New Roman"/>
          <w:sz w:val="24"/>
          <w:szCs w:val="24"/>
          <w:lang w:val="es-MX"/>
        </w:rPr>
        <w:t xml:space="preserve">Tesis de pregrado. Universidad Central "Marta Abreu" de Las Villas. </w:t>
      </w:r>
      <w:hyperlink r:id="rId13" w:history="1">
        <w:r w:rsidR="00B33808" w:rsidRPr="004517D6">
          <w:rPr>
            <w:rStyle w:val="Hipervnculo"/>
            <w:rFonts w:ascii="Times New Roman" w:eastAsia="Calibri" w:hAnsi="Times New Roman" w:cs="Times New Roman"/>
            <w:sz w:val="24"/>
            <w:szCs w:val="24"/>
            <w:lang w:val="es-MX"/>
          </w:rPr>
          <w:t>https://dspace.uclv.edu.cu/handle/123456789/6567</w:t>
        </w:r>
      </w:hyperlink>
    </w:p>
    <w:p w14:paraId="51D3680D" w14:textId="048F1F48" w:rsidR="00864772" w:rsidRPr="004517D6" w:rsidRDefault="00B33808" w:rsidP="004517D6">
      <w:pPr>
        <w:pStyle w:val="Prrafodelista"/>
        <w:numPr>
          <w:ilvl w:val="0"/>
          <w:numId w:val="3"/>
        </w:numPr>
        <w:spacing w:before="100" w:beforeAutospacing="1" w:after="100" w:afterAutospacing="1"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Mora, F. (2021). </w:t>
      </w:r>
      <w:r w:rsidRPr="00890CEC">
        <w:rPr>
          <w:rFonts w:ascii="Times New Roman" w:eastAsia="Calibri" w:hAnsi="Times New Roman" w:cs="Times New Roman"/>
          <w:i/>
          <w:iCs/>
          <w:sz w:val="24"/>
          <w:szCs w:val="24"/>
          <w:lang w:val="es-MX"/>
        </w:rPr>
        <w:t>Neuroeducación: lo que nos enseña el cerebro (Segunda ed. Revisada</w:t>
      </w:r>
      <w:r w:rsidR="003C0EED" w:rsidRPr="00890CEC">
        <w:rPr>
          <w:rFonts w:ascii="Times New Roman" w:eastAsia="Calibri" w:hAnsi="Times New Roman" w:cs="Times New Roman"/>
          <w:i/>
          <w:iCs/>
          <w:sz w:val="24"/>
          <w:szCs w:val="24"/>
          <w:lang w:val="es-MX"/>
        </w:rPr>
        <w:t xml:space="preserve">). Alianza </w:t>
      </w:r>
      <w:r w:rsidRPr="00890CEC">
        <w:rPr>
          <w:rFonts w:ascii="Times New Roman" w:eastAsia="Calibri" w:hAnsi="Times New Roman" w:cs="Times New Roman"/>
          <w:i/>
          <w:iCs/>
          <w:sz w:val="24"/>
          <w:szCs w:val="24"/>
          <w:lang w:val="es-MX"/>
        </w:rPr>
        <w:t>Editorial.</w:t>
      </w:r>
      <w:r w:rsidRPr="004517D6">
        <w:rPr>
          <w:rFonts w:ascii="Times New Roman" w:eastAsia="Calibri" w:hAnsi="Times New Roman" w:cs="Times New Roman"/>
          <w:sz w:val="24"/>
          <w:szCs w:val="24"/>
          <w:lang w:val="es-MX"/>
        </w:rPr>
        <w:t xml:space="preserve"> https://www. Colegar.com</w:t>
      </w:r>
    </w:p>
    <w:p w14:paraId="364BA725" w14:textId="77777777" w:rsidR="00864772"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n-US"/>
        </w:rPr>
      </w:pPr>
      <w:r w:rsidRPr="004517D6">
        <w:rPr>
          <w:rFonts w:ascii="Times New Roman" w:eastAsia="Calibri" w:hAnsi="Times New Roman" w:cs="Times New Roman"/>
          <w:sz w:val="24"/>
          <w:szCs w:val="24"/>
          <w:lang w:val="en-US"/>
        </w:rPr>
        <w:t xml:space="preserve">Network Cuba-UK. (2025). </w:t>
      </w:r>
      <w:r w:rsidRPr="00890CEC">
        <w:rPr>
          <w:rFonts w:ascii="Times New Roman" w:eastAsia="Calibri" w:hAnsi="Times New Roman" w:cs="Times New Roman"/>
          <w:i/>
          <w:iCs/>
          <w:sz w:val="24"/>
          <w:szCs w:val="24"/>
          <w:lang w:val="en-US"/>
        </w:rPr>
        <w:t>Sensory projects Holguín: Results report from a neurodiversity perspective.</w:t>
      </w:r>
      <w:r w:rsidRPr="004517D6">
        <w:rPr>
          <w:rFonts w:ascii="Times New Roman" w:eastAsia="Calibri" w:hAnsi="Times New Roman" w:cs="Times New Roman"/>
          <w:sz w:val="24"/>
          <w:szCs w:val="24"/>
          <w:lang w:val="en-US"/>
        </w:rPr>
        <w:t xml:space="preserve"> https://networkcuba-uk.com/sensory-projects-holguin/</w:t>
      </w:r>
    </w:p>
    <w:p w14:paraId="0B96B8E6" w14:textId="68A4F0A5" w:rsidR="000036CD" w:rsidRPr="004517D6" w:rsidRDefault="00864772" w:rsidP="004517D6">
      <w:pPr>
        <w:pStyle w:val="Prrafodelista"/>
        <w:widowControl w:val="0"/>
        <w:numPr>
          <w:ilvl w:val="0"/>
          <w:numId w:val="3"/>
        </w:numPr>
        <w:spacing w:line="360" w:lineRule="auto"/>
        <w:jc w:val="both"/>
        <w:rPr>
          <w:rFonts w:ascii="Times New Roman" w:eastAsia="Calibri" w:hAnsi="Times New Roman" w:cs="Times New Roman"/>
          <w:sz w:val="24"/>
          <w:szCs w:val="24"/>
          <w:lang w:val="es-MX"/>
        </w:rPr>
      </w:pPr>
      <w:r w:rsidRPr="004517D6">
        <w:rPr>
          <w:rFonts w:ascii="Times New Roman" w:eastAsia="Calibri" w:hAnsi="Times New Roman" w:cs="Times New Roman"/>
          <w:sz w:val="24"/>
          <w:szCs w:val="24"/>
          <w:lang w:val="es-MX"/>
        </w:rPr>
        <w:t xml:space="preserve">Varas, R., et al. (2024). </w:t>
      </w:r>
      <w:r w:rsidRPr="00890CEC">
        <w:rPr>
          <w:rFonts w:ascii="Times New Roman" w:eastAsia="Calibri" w:hAnsi="Times New Roman" w:cs="Times New Roman"/>
          <w:i/>
          <w:iCs/>
          <w:sz w:val="24"/>
          <w:szCs w:val="24"/>
          <w:lang w:val="es-MX"/>
        </w:rPr>
        <w:t>Aportes de la neuroeducación a la práctica pedagógica inclusiva. Revista Latinoamericana de Educación Inclusiva</w:t>
      </w:r>
      <w:r w:rsidRPr="004517D6">
        <w:rPr>
          <w:rFonts w:ascii="Times New Roman" w:eastAsia="Calibri" w:hAnsi="Times New Roman" w:cs="Times New Roman"/>
          <w:sz w:val="24"/>
          <w:szCs w:val="24"/>
          <w:lang w:val="es-MX"/>
        </w:rPr>
        <w:t>, 18(1), 85-102.</w:t>
      </w:r>
    </w:p>
    <w:p w14:paraId="3198DFD2" w14:textId="77777777" w:rsidR="00867E0E" w:rsidRPr="000036CD" w:rsidRDefault="00E72335" w:rsidP="00864772">
      <w:pPr>
        <w:widowControl w:val="0"/>
        <w:spacing w:line="360" w:lineRule="auto"/>
        <w:jc w:val="both"/>
        <w:rPr>
          <w:rFonts w:ascii="Times New Roman" w:eastAsia="Calibri" w:hAnsi="Times New Roman" w:cs="Times New Roman"/>
          <w:b/>
          <w:sz w:val="24"/>
          <w:szCs w:val="24"/>
          <w:lang w:val="es-MX"/>
        </w:rPr>
      </w:pPr>
      <w:r w:rsidRPr="000036CD">
        <w:rPr>
          <w:rFonts w:ascii="Times New Roman" w:eastAsia="Calibri" w:hAnsi="Times New Roman" w:cs="Times New Roman"/>
          <w:b/>
          <w:sz w:val="24"/>
          <w:szCs w:val="24"/>
          <w:lang w:val="es-MX"/>
        </w:rPr>
        <w:t xml:space="preserve">DECLARACIÓN DE CONFLICTOS ÉTICOS Y CONTRIBUCIÓN DE LOS AUTORES </w:t>
      </w:r>
    </w:p>
    <w:p w14:paraId="0FEBD8A0" w14:textId="27FB51FF" w:rsidR="00E72335" w:rsidRDefault="00E72335" w:rsidP="00864772">
      <w:pPr>
        <w:widowControl w:val="0"/>
        <w:spacing w:line="360" w:lineRule="auto"/>
        <w:jc w:val="both"/>
        <w:rPr>
          <w:rFonts w:ascii="Times New Roman" w:eastAsia="Calibri" w:hAnsi="Times New Roman" w:cs="Times New Roman"/>
          <w:sz w:val="24"/>
          <w:szCs w:val="24"/>
          <w:lang w:val="es-MX"/>
        </w:rPr>
      </w:pPr>
      <w:r w:rsidRPr="00E72335">
        <w:rPr>
          <w:rFonts w:ascii="Times New Roman" w:eastAsia="Calibri" w:hAnsi="Times New Roman" w:cs="Times New Roman"/>
          <w:sz w:val="24"/>
          <w:szCs w:val="24"/>
          <w:lang w:val="es-MX"/>
        </w:rPr>
        <w:t xml:space="preserve">Los autores declaramos que este manuscrito es original y no se ha enviado a otra revista. </w:t>
      </w:r>
      <w:r w:rsidR="00867E0E">
        <w:rPr>
          <w:rFonts w:ascii="Times New Roman" w:eastAsia="Calibri" w:hAnsi="Times New Roman" w:cs="Times New Roman"/>
          <w:sz w:val="24"/>
          <w:szCs w:val="24"/>
          <w:lang w:val="es-MX"/>
        </w:rPr>
        <w:t>Los autore</w:t>
      </w:r>
      <w:r w:rsidRPr="00E72335">
        <w:rPr>
          <w:rFonts w:ascii="Times New Roman" w:eastAsia="Calibri" w:hAnsi="Times New Roman" w:cs="Times New Roman"/>
          <w:sz w:val="24"/>
          <w:szCs w:val="24"/>
          <w:lang w:val="es-MX"/>
        </w:rPr>
        <w:t xml:space="preserve">s somos responsables del contenido recogido en el artículo y en él no existen plagios, conflictos de interés ni éticos. </w:t>
      </w:r>
    </w:p>
    <w:p w14:paraId="525EC80A" w14:textId="77777777" w:rsidR="00867E0E" w:rsidRDefault="00E72335" w:rsidP="00DA34D9">
      <w:pPr>
        <w:widowControl w:val="0"/>
        <w:spacing w:line="24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Jacinto Morgade Molina</w:t>
      </w:r>
      <w:r w:rsidRPr="00E72335">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w:t>
      </w:r>
      <w:r w:rsidRPr="00E72335">
        <w:rPr>
          <w:rFonts w:ascii="Times New Roman" w:eastAsia="Calibri" w:hAnsi="Times New Roman" w:cs="Times New Roman"/>
          <w:sz w:val="24"/>
          <w:szCs w:val="24"/>
          <w:lang w:val="es-MX"/>
        </w:rPr>
        <w:t xml:space="preserve">Conceptualización, análisis formal, investigación, visualización, redacción-borrador original, redacción-revisión y edición. </w:t>
      </w:r>
    </w:p>
    <w:p w14:paraId="0BFE915A" w14:textId="3ADBE4A2" w:rsidR="00054E02" w:rsidRDefault="00E72335" w:rsidP="00DA34D9">
      <w:pPr>
        <w:widowControl w:val="0"/>
        <w:spacing w:line="240" w:lineRule="auto"/>
        <w:jc w:val="both"/>
        <w:rPr>
          <w:sz w:val="24"/>
        </w:rPr>
      </w:pPr>
      <w:r>
        <w:rPr>
          <w:rFonts w:ascii="Times New Roman" w:eastAsia="Calibri" w:hAnsi="Times New Roman" w:cs="Times New Roman"/>
          <w:sz w:val="24"/>
          <w:szCs w:val="24"/>
          <w:lang w:val="es-MX"/>
        </w:rPr>
        <w:t>Lissett González Cobos y Clay Pérez Jiménez</w:t>
      </w:r>
      <w:r w:rsidRPr="00E72335">
        <w:rPr>
          <w:rFonts w:ascii="Times New Roman" w:eastAsia="Calibri" w:hAnsi="Times New Roman" w:cs="Times New Roman"/>
          <w:sz w:val="24"/>
          <w:szCs w:val="24"/>
          <w:lang w:val="es-MX"/>
        </w:rPr>
        <w:t>: Conceptualiz</w:t>
      </w:r>
      <w:r>
        <w:rPr>
          <w:rFonts w:ascii="Times New Roman" w:eastAsia="Calibri" w:hAnsi="Times New Roman" w:cs="Times New Roman"/>
          <w:sz w:val="24"/>
          <w:szCs w:val="24"/>
          <w:lang w:val="es-MX"/>
        </w:rPr>
        <w:t xml:space="preserve">ación, investigación, redacción, </w:t>
      </w:r>
      <w:r w:rsidRPr="00E72335">
        <w:rPr>
          <w:rFonts w:ascii="Times New Roman" w:eastAsia="Calibri" w:hAnsi="Times New Roman" w:cs="Times New Roman"/>
          <w:sz w:val="24"/>
          <w:szCs w:val="24"/>
          <w:lang w:val="es-MX"/>
        </w:rPr>
        <w:t>revisión y edición</w:t>
      </w:r>
      <w:r w:rsidR="00DA34D9">
        <w:rPr>
          <w:rFonts w:ascii="Times New Roman" w:eastAsia="Calibri" w:hAnsi="Times New Roman" w:cs="Times New Roman"/>
          <w:sz w:val="24"/>
          <w:szCs w:val="24"/>
          <w:lang w:val="es-MX"/>
        </w:rPr>
        <w:t>.</w:t>
      </w:r>
    </w:p>
    <w:sectPr w:rsidR="00054E02" w:rsidSect="003A53E4">
      <w:headerReference w:type="default" r:id="rId14"/>
      <w:footerReference w:type="default" r:id="rId15"/>
      <w:pgSz w:w="12240" w:h="15840"/>
      <w:pgMar w:top="1980" w:right="1440" w:bottom="2970" w:left="1350" w:header="810" w:footer="451" w:gutter="0"/>
      <w:pgNumType w:start="23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1EC12" w14:textId="77777777" w:rsidR="000E1BE4" w:rsidRDefault="000E1BE4">
      <w:pPr>
        <w:spacing w:line="240" w:lineRule="auto"/>
      </w:pPr>
      <w:r>
        <w:separator/>
      </w:r>
    </w:p>
  </w:endnote>
  <w:endnote w:type="continuationSeparator" w:id="0">
    <w:p w14:paraId="703146CA" w14:textId="77777777" w:rsidR="000E1BE4" w:rsidRDefault="000E1B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5" w:type="dxa"/>
      <w:jc w:val="center"/>
      <w:tblLook w:val="04A0" w:firstRow="1" w:lastRow="0" w:firstColumn="1" w:lastColumn="0" w:noHBand="0" w:noVBand="1"/>
    </w:tblPr>
    <w:tblGrid>
      <w:gridCol w:w="2090"/>
      <w:gridCol w:w="7995"/>
    </w:tblGrid>
    <w:tr w:rsidR="00572950" w:rsidRPr="00572950" w14:paraId="58CDC781" w14:textId="77777777" w:rsidTr="002A734A">
      <w:trPr>
        <w:trHeight w:val="310"/>
        <w:jc w:val="center"/>
      </w:trPr>
      <w:tc>
        <w:tcPr>
          <w:tcW w:w="1804" w:type="dxa"/>
          <w:shd w:val="clear" w:color="auto" w:fill="00B0F0"/>
          <w:tcMar>
            <w:top w:w="144" w:type="dxa"/>
            <w:left w:w="115" w:type="dxa"/>
            <w:bottom w:w="144" w:type="dxa"/>
            <w:right w:w="115" w:type="dxa"/>
          </w:tcMar>
          <w:vAlign w:val="center"/>
        </w:tcPr>
        <w:p w14:paraId="4004B340" w14:textId="77777777" w:rsidR="00572950" w:rsidRPr="00572950" w:rsidRDefault="00572950" w:rsidP="00572950">
          <w:pPr>
            <w:spacing w:after="0" w:line="240" w:lineRule="auto"/>
            <w:rPr>
              <w:rFonts w:ascii="Calibri" w:eastAsia="Calibri" w:hAnsi="Calibri" w:cs="Times New Roman"/>
              <w:b/>
              <w:color w:val="FFFFFF"/>
              <w:lang w:val="en-US"/>
            </w:rPr>
          </w:pPr>
          <w:r w:rsidRPr="00572950">
            <w:rPr>
              <w:rFonts w:ascii="Calibri" w:eastAsia="Calibri" w:hAnsi="Calibri" w:cs="Times New Roman"/>
              <w:b/>
              <w:noProof/>
              <w:color w:val="FFFFFF"/>
              <w:lang w:val="en-US"/>
            </w:rPr>
            <w:drawing>
              <wp:inline distT="0" distB="0" distL="0" distR="0" wp14:anchorId="12363E0C" wp14:editId="45F716D8">
                <wp:extent cx="1181100" cy="409575"/>
                <wp:effectExtent l="0" t="0" r="0" b="9525"/>
                <wp:docPr id="4098"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srcRect/>
                        <a:stretch/>
                      </pic:blipFill>
                      <pic:spPr>
                        <a:xfrm>
                          <a:off x="0" y="0"/>
                          <a:ext cx="1181100" cy="409575"/>
                        </a:xfrm>
                        <a:prstGeom prst="rect">
                          <a:avLst/>
                        </a:prstGeom>
                        <a:ln>
                          <a:noFill/>
                        </a:ln>
                      </pic:spPr>
                    </pic:pic>
                  </a:graphicData>
                </a:graphic>
              </wp:inline>
            </w:drawing>
          </w:r>
        </w:p>
      </w:tc>
      <w:tc>
        <w:tcPr>
          <w:tcW w:w="8281" w:type="dxa"/>
          <w:shd w:val="clear" w:color="auto" w:fill="00B0F0"/>
          <w:vAlign w:val="center"/>
        </w:tcPr>
        <w:p w14:paraId="0F5D6AAE" w14:textId="77777777" w:rsidR="00572950" w:rsidRPr="00572950" w:rsidRDefault="00572950" w:rsidP="00572950">
          <w:pPr>
            <w:spacing w:after="0" w:line="240" w:lineRule="auto"/>
            <w:rPr>
              <w:rFonts w:ascii="Calibri" w:eastAsia="Calibri" w:hAnsi="Calibri" w:cs="Times New Roman"/>
              <w:color w:val="FFFFFF"/>
              <w:sz w:val="20"/>
            </w:rPr>
          </w:pPr>
          <w:r w:rsidRPr="00572950">
            <w:rPr>
              <w:rFonts w:ascii="Calibri" w:eastAsia="Calibri" w:hAnsi="Calibri" w:cs="Times New Roman"/>
              <w:color w:val="FFFFFF"/>
              <w:sz w:val="20"/>
            </w:rPr>
            <w:t xml:space="preserve">Artículo de acceso abierto distribuido bajo los términos de la licencia Creative Commons. </w:t>
          </w:r>
        </w:p>
        <w:p w14:paraId="0DD2532E" w14:textId="77777777" w:rsidR="00572950" w:rsidRPr="00572950" w:rsidRDefault="00572950" w:rsidP="00572950">
          <w:pPr>
            <w:spacing w:after="0" w:line="240" w:lineRule="auto"/>
            <w:rPr>
              <w:rFonts w:ascii="Calibri" w:eastAsia="Calibri" w:hAnsi="Calibri" w:cs="Times New Roman"/>
              <w:b/>
              <w:color w:val="FFFFFF"/>
            </w:rPr>
          </w:pPr>
          <w:r w:rsidRPr="00572950">
            <w:rPr>
              <w:rFonts w:ascii="Calibri" w:eastAsia="Calibri" w:hAnsi="Calibri" w:cs="Times New Roman"/>
              <w:color w:val="FFFFFF"/>
              <w:sz w:val="20"/>
            </w:rPr>
            <w:t>Reconocimiento-No Comercial 4.0 Internacional (CC BY-NC 4.0)</w:t>
          </w:r>
        </w:p>
      </w:tc>
    </w:tr>
    <w:tr w:rsidR="00572950" w:rsidRPr="00572950" w14:paraId="5ADE036C" w14:textId="77777777" w:rsidTr="002A734A">
      <w:trPr>
        <w:trHeight w:val="14"/>
        <w:jc w:val="center"/>
      </w:trPr>
      <w:tc>
        <w:tcPr>
          <w:tcW w:w="10085" w:type="dxa"/>
          <w:gridSpan w:val="2"/>
          <w:shd w:val="clear" w:color="auto" w:fill="FFFFFF"/>
          <w:tcMar>
            <w:top w:w="144" w:type="dxa"/>
            <w:left w:w="115" w:type="dxa"/>
            <w:bottom w:w="144" w:type="dxa"/>
            <w:right w:w="115" w:type="dxa"/>
          </w:tcMar>
          <w:vAlign w:val="center"/>
        </w:tcPr>
        <w:p w14:paraId="696B77C1" w14:textId="77777777" w:rsidR="00572950" w:rsidRPr="00572950" w:rsidRDefault="00572950" w:rsidP="00572950">
          <w:pPr>
            <w:spacing w:after="0" w:line="240" w:lineRule="auto"/>
            <w:jc w:val="center"/>
            <w:rPr>
              <w:rFonts w:ascii="Calibri" w:eastAsia="Calibri" w:hAnsi="Calibri" w:cs="Times New Roman"/>
              <w:color w:val="FFFFFF"/>
              <w:sz w:val="20"/>
            </w:rPr>
          </w:pPr>
          <w:r w:rsidRPr="00572950">
            <w:rPr>
              <w:rFonts w:ascii="Calibri" w:eastAsia="Calibri" w:hAnsi="Calibri" w:cs="Times New Roman"/>
              <w:color w:val="833C0B"/>
              <w:sz w:val="20"/>
            </w:rPr>
            <w:t>Calle 41 No. 3406 e/34 y 36 Playa, La Habana, Cuba.    /   revista@iccp.rimed.cu   /   www.cienciaspedagogicas.rimed.cu</w:t>
          </w:r>
        </w:p>
      </w:tc>
    </w:tr>
  </w:tbl>
  <w:p w14:paraId="1A0811AD" w14:textId="74F0BDB1" w:rsidR="00054E02" w:rsidRDefault="00F4223A" w:rsidP="003A53E4">
    <w:pPr>
      <w:pStyle w:val="Piedepgina"/>
      <w:tabs>
        <w:tab w:val="clear" w:pos="4680"/>
        <w:tab w:val="clear" w:pos="9360"/>
      </w:tabs>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216972">
      <w:rPr>
        <w:caps/>
        <w:noProof/>
        <w:color w:val="5B9BD5" w:themeColor="accent1"/>
      </w:rPr>
      <w:t>15</w:t>
    </w:r>
    <w:r>
      <w:rPr>
        <w:caps/>
        <w:color w:val="5B9BD5" w:themeColor="accent1"/>
      </w:rPr>
      <w:fldChar w:fldCharType="end"/>
    </w:r>
  </w:p>
  <w:p w14:paraId="429ADE55" w14:textId="77777777" w:rsidR="00054E02" w:rsidRDefault="00054E0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2D9B" w14:textId="77777777" w:rsidR="000E1BE4" w:rsidRDefault="000E1BE4">
      <w:pPr>
        <w:spacing w:after="0"/>
      </w:pPr>
      <w:r>
        <w:separator/>
      </w:r>
    </w:p>
  </w:footnote>
  <w:footnote w:type="continuationSeparator" w:id="0">
    <w:p w14:paraId="49C09BE7" w14:textId="77777777" w:rsidR="000E1BE4" w:rsidRDefault="000E1BE4">
      <w:pPr>
        <w:spacing w:after="0"/>
      </w:pPr>
      <w:r>
        <w:continuationSeparator/>
      </w:r>
    </w:p>
  </w:footnote>
  <w:footnote w:id="1">
    <w:p w14:paraId="6EAE42FC" w14:textId="25EF84BC" w:rsidR="00726B95" w:rsidRDefault="00726B95">
      <w:pPr>
        <w:pStyle w:val="Textonotapie"/>
      </w:pPr>
      <w:r>
        <w:rPr>
          <w:rStyle w:val="Refdenotaalpie"/>
        </w:rPr>
        <w:footnoteRef/>
      </w:r>
      <w:r>
        <w:t xml:space="preserve"> </w:t>
      </w:r>
      <w:r w:rsidRPr="00726B95">
        <w:t>M</w:t>
      </w:r>
      <w:r>
        <w:t>á</w:t>
      </w:r>
      <w:r w:rsidRPr="00726B95">
        <w:t>ster en Ciencias de la Educación, Licenciado en Educación Especial.</w:t>
      </w:r>
    </w:p>
  </w:footnote>
  <w:footnote w:id="2">
    <w:p w14:paraId="5A17BF34" w14:textId="38247144" w:rsidR="00726B95" w:rsidRDefault="00726B95">
      <w:pPr>
        <w:pStyle w:val="Textonotapie"/>
      </w:pPr>
      <w:r>
        <w:rPr>
          <w:rStyle w:val="Refdenotaalpie"/>
        </w:rPr>
        <w:footnoteRef/>
      </w:r>
      <w:r>
        <w:t xml:space="preserve"> </w:t>
      </w:r>
      <w:r w:rsidRPr="00726B95">
        <w:t>Doctora en Ciencias de la Educación, Profesora Titular, formación académica o profesional.</w:t>
      </w:r>
    </w:p>
  </w:footnote>
  <w:footnote w:id="3">
    <w:p w14:paraId="1CE899AB" w14:textId="02E16C95" w:rsidR="00726B95" w:rsidRDefault="00726B95">
      <w:pPr>
        <w:pStyle w:val="Textonotapie"/>
      </w:pPr>
      <w:r>
        <w:rPr>
          <w:rStyle w:val="Refdenotaalpie"/>
        </w:rPr>
        <w:footnoteRef/>
      </w:r>
      <w:r>
        <w:t xml:space="preserve"> </w:t>
      </w:r>
      <w:r w:rsidRPr="00726B95">
        <w:t>Doctor en Ciencias de la Educación, Profesor Titular, Licenciado en Especialidad Educación Primaria.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2"/>
      <w:gridCol w:w="4500"/>
    </w:tblGrid>
    <w:tr w:rsidR="00572950" w:rsidRPr="00572950" w14:paraId="3CFEB2C5" w14:textId="77777777" w:rsidTr="002A734A">
      <w:trPr>
        <w:trHeight w:val="916"/>
        <w:jc w:val="center"/>
      </w:trPr>
      <w:tc>
        <w:tcPr>
          <w:tcW w:w="5382" w:type="dxa"/>
          <w:tcMar>
            <w:top w:w="72" w:type="dxa"/>
            <w:left w:w="115" w:type="dxa"/>
            <w:bottom w:w="72" w:type="dxa"/>
            <w:right w:w="115" w:type="dxa"/>
          </w:tcMar>
          <w:vAlign w:val="center"/>
        </w:tcPr>
        <w:p w14:paraId="3F4EE794" w14:textId="77777777" w:rsidR="00572950" w:rsidRPr="00572950" w:rsidRDefault="00572950" w:rsidP="00572950">
          <w:pPr>
            <w:spacing w:after="0" w:line="360" w:lineRule="auto"/>
            <w:jc w:val="center"/>
            <w:rPr>
              <w:rFonts w:ascii="Times New Roman" w:eastAsia="Calibri" w:hAnsi="Times New Roman" w:cs="Times New Roman"/>
              <w:b/>
              <w:sz w:val="24"/>
              <w:szCs w:val="24"/>
            </w:rPr>
          </w:pPr>
          <w:bookmarkStart w:id="0" w:name="_Hlk222666305"/>
          <w:bookmarkStart w:id="1" w:name="_Hlk222664986"/>
          <w:r w:rsidRPr="00572950">
            <w:rPr>
              <w:rFonts w:ascii="Times New Roman" w:eastAsia="Calibri" w:hAnsi="Times New Roman" w:cs="Times New Roman"/>
              <w:noProof/>
              <w:sz w:val="24"/>
              <w:szCs w:val="24"/>
              <w:lang w:eastAsia="es-ES"/>
            </w:rPr>
            <w:drawing>
              <wp:inline distT="0" distB="0" distL="0" distR="0" wp14:anchorId="13A01389" wp14:editId="7F1A3BB8">
                <wp:extent cx="3398520" cy="6686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8520" cy="668655"/>
                        </a:xfrm>
                        <a:prstGeom prst="rect">
                          <a:avLst/>
                        </a:prstGeom>
                        <a:noFill/>
                        <a:ln>
                          <a:noFill/>
                        </a:ln>
                      </pic:spPr>
                    </pic:pic>
                  </a:graphicData>
                </a:graphic>
              </wp:inline>
            </w:drawing>
          </w:r>
        </w:p>
      </w:tc>
      <w:tc>
        <w:tcPr>
          <w:tcW w:w="4500" w:type="dxa"/>
          <w:shd w:val="clear" w:color="auto" w:fill="00B0F0"/>
          <w:tcMar>
            <w:top w:w="72" w:type="dxa"/>
            <w:left w:w="115" w:type="dxa"/>
            <w:bottom w:w="72" w:type="dxa"/>
            <w:right w:w="115" w:type="dxa"/>
          </w:tcMar>
          <w:vAlign w:val="center"/>
        </w:tcPr>
        <w:p w14:paraId="5116FF31" w14:textId="77777777" w:rsidR="00572950" w:rsidRPr="00572950" w:rsidRDefault="00572950" w:rsidP="00572950">
          <w:pPr>
            <w:spacing w:after="0" w:line="240" w:lineRule="auto"/>
            <w:jc w:val="center"/>
            <w:rPr>
              <w:rFonts w:ascii="Times New Roman" w:eastAsia="Calibri" w:hAnsi="Times New Roman" w:cs="Times New Roman"/>
              <w:b/>
              <w:color w:val="FFFFFF"/>
              <w:sz w:val="24"/>
              <w:szCs w:val="24"/>
            </w:rPr>
          </w:pPr>
          <w:r w:rsidRPr="00572950">
            <w:rPr>
              <w:rFonts w:ascii="Times New Roman" w:eastAsia="Calibri" w:hAnsi="Times New Roman" w:cs="Times New Roman"/>
              <w:b/>
              <w:color w:val="FFFFFF"/>
              <w:sz w:val="24"/>
              <w:szCs w:val="24"/>
            </w:rPr>
            <w:t>ISSN: 1605 – 5888    RNPS: 1844</w:t>
          </w:r>
        </w:p>
        <w:p w14:paraId="7A48E040" w14:textId="77777777" w:rsidR="00572950" w:rsidRPr="00572950" w:rsidRDefault="00572950" w:rsidP="00572950">
          <w:pPr>
            <w:spacing w:after="0" w:line="240" w:lineRule="auto"/>
            <w:jc w:val="center"/>
            <w:rPr>
              <w:rFonts w:ascii="Times New Roman" w:eastAsia="Calibri" w:hAnsi="Times New Roman" w:cs="Times New Roman"/>
              <w:b/>
              <w:color w:val="FFFFFF"/>
              <w:sz w:val="24"/>
              <w:szCs w:val="24"/>
            </w:rPr>
          </w:pPr>
          <w:r w:rsidRPr="00572950">
            <w:rPr>
              <w:rFonts w:ascii="Times New Roman" w:eastAsia="Calibri" w:hAnsi="Times New Roman" w:cs="Times New Roman"/>
              <w:b/>
              <w:color w:val="FFFFFF"/>
              <w:sz w:val="24"/>
              <w:szCs w:val="24"/>
            </w:rPr>
            <w:t>V.19. Enero-abril. Año 2026, 4ta Etapa</w:t>
          </w:r>
        </w:p>
        <w:p w14:paraId="58CFF534" w14:textId="45C27554" w:rsidR="00572950" w:rsidRPr="00572950" w:rsidRDefault="00572950" w:rsidP="00572950">
          <w:pPr>
            <w:spacing w:after="0" w:line="240" w:lineRule="auto"/>
            <w:jc w:val="center"/>
            <w:rPr>
              <w:rFonts w:ascii="Times New Roman" w:eastAsia="Calibri" w:hAnsi="Times New Roman" w:cs="Times New Roman"/>
              <w:b/>
              <w:sz w:val="24"/>
              <w:szCs w:val="24"/>
            </w:rPr>
          </w:pPr>
          <w:r w:rsidRPr="00572950">
            <w:rPr>
              <w:rFonts w:ascii="Times New Roman" w:eastAsia="Calibri" w:hAnsi="Times New Roman" w:cs="Times New Roman"/>
              <w:b/>
              <w:color w:val="FFFFFF"/>
              <w:sz w:val="24"/>
              <w:szCs w:val="24"/>
            </w:rPr>
            <w:t xml:space="preserve">Págs. </w:t>
          </w:r>
          <w:r w:rsidR="003A53E4">
            <w:rPr>
              <w:rFonts w:ascii="Times New Roman" w:eastAsia="Calibri" w:hAnsi="Times New Roman" w:cs="Times New Roman"/>
              <w:b/>
              <w:color w:val="FFFFFF"/>
              <w:sz w:val="24"/>
              <w:szCs w:val="24"/>
            </w:rPr>
            <w:t>235-249</w:t>
          </w:r>
        </w:p>
      </w:tc>
    </w:tr>
    <w:bookmarkEnd w:id="0"/>
    <w:tr w:rsidR="00572950" w:rsidRPr="00572950" w14:paraId="7B80B4AC" w14:textId="77777777" w:rsidTr="002A734A">
      <w:trPr>
        <w:trHeight w:val="150"/>
        <w:jc w:val="center"/>
      </w:trPr>
      <w:tc>
        <w:tcPr>
          <w:tcW w:w="9882" w:type="dxa"/>
          <w:gridSpan w:val="2"/>
          <w:shd w:val="clear" w:color="auto" w:fill="046804"/>
          <w:tcMar>
            <w:top w:w="72" w:type="dxa"/>
            <w:left w:w="115" w:type="dxa"/>
            <w:bottom w:w="72" w:type="dxa"/>
            <w:right w:w="115" w:type="dxa"/>
          </w:tcMar>
          <w:vAlign w:val="center"/>
        </w:tcPr>
        <w:p w14:paraId="121CF21B" w14:textId="77777777" w:rsidR="00572950" w:rsidRPr="00572950" w:rsidRDefault="00572950" w:rsidP="00572950">
          <w:pPr>
            <w:spacing w:after="0" w:line="360" w:lineRule="auto"/>
            <w:jc w:val="center"/>
            <w:rPr>
              <w:rFonts w:ascii="Times New Roman" w:eastAsia="Calibri" w:hAnsi="Times New Roman" w:cs="Times New Roman"/>
              <w:b/>
              <w:color w:val="FFFFFF"/>
              <w:sz w:val="24"/>
              <w:szCs w:val="24"/>
            </w:rPr>
          </w:pPr>
          <w:r w:rsidRPr="00572950">
            <w:rPr>
              <w:rFonts w:ascii="Times New Roman" w:eastAsia="Calibri" w:hAnsi="Times New Roman" w:cs="Times New Roman"/>
              <w:b/>
              <w:color w:val="FFFFFF"/>
              <w:sz w:val="24"/>
              <w:szCs w:val="24"/>
            </w:rPr>
            <w:t xml:space="preserve">Año del Centenario del </w:t>
          </w:r>
          <w:proofErr w:type="gramStart"/>
          <w:r w:rsidRPr="00572950">
            <w:rPr>
              <w:rFonts w:ascii="Times New Roman" w:eastAsia="Calibri" w:hAnsi="Times New Roman" w:cs="Times New Roman"/>
              <w:b/>
              <w:color w:val="FFFFFF"/>
              <w:sz w:val="24"/>
              <w:szCs w:val="24"/>
            </w:rPr>
            <w:t>Comandante</w:t>
          </w:r>
          <w:proofErr w:type="gramEnd"/>
          <w:r w:rsidRPr="00572950">
            <w:rPr>
              <w:rFonts w:ascii="Times New Roman" w:eastAsia="Calibri" w:hAnsi="Times New Roman" w:cs="Times New Roman"/>
              <w:b/>
              <w:color w:val="FFFFFF"/>
              <w:sz w:val="24"/>
              <w:szCs w:val="24"/>
            </w:rPr>
            <w:t xml:space="preserve"> en </w:t>
          </w:r>
          <w:proofErr w:type="gramStart"/>
          <w:r w:rsidRPr="00572950">
            <w:rPr>
              <w:rFonts w:ascii="Times New Roman" w:eastAsia="Calibri" w:hAnsi="Times New Roman" w:cs="Times New Roman"/>
              <w:b/>
              <w:color w:val="FFFFFF"/>
              <w:sz w:val="24"/>
              <w:szCs w:val="24"/>
            </w:rPr>
            <w:t>Jefe</w:t>
          </w:r>
          <w:proofErr w:type="gramEnd"/>
          <w:r w:rsidRPr="00572950">
            <w:rPr>
              <w:rFonts w:ascii="Times New Roman" w:eastAsia="Calibri" w:hAnsi="Times New Roman" w:cs="Times New Roman"/>
              <w:b/>
              <w:color w:val="FFFFFF"/>
              <w:sz w:val="24"/>
              <w:szCs w:val="24"/>
            </w:rPr>
            <w:t xml:space="preserve"> Fidel Castro Ruz y el 50 Aniversario del ICCP</w:t>
          </w:r>
        </w:p>
      </w:tc>
    </w:tr>
    <w:bookmarkEnd w:id="1"/>
  </w:tbl>
  <w:p w14:paraId="27DD3763" w14:textId="77777777" w:rsidR="00054E02" w:rsidRDefault="00054E02">
    <w:pPr>
      <w:pStyle w:val="Encabezado"/>
      <w:ind w:left="2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ción: Descripción: http://directorio.concytec.gob.pe/appDirectorioCTI/img/logo_orcid3.png" style="width:60.6pt;height:60.6pt;visibility:visible;mso-wrap-style:square" o:bullet="t">
        <v:imagedata r:id="rId1" o:title="logo_orcid3"/>
      </v:shape>
    </w:pict>
  </w:numPicBullet>
  <w:abstractNum w:abstractNumId="0" w15:restartNumberingAfterBreak="0">
    <w:nsid w:val="00D76F56"/>
    <w:multiLevelType w:val="multilevel"/>
    <w:tmpl w:val="00D76F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D8F7112"/>
    <w:multiLevelType w:val="hybridMultilevel"/>
    <w:tmpl w:val="3AA65616"/>
    <w:lvl w:ilvl="0" w:tplc="5C0A0013">
      <w:start w:val="1"/>
      <w:numFmt w:val="upperRoman"/>
      <w:lvlText w:val="%1."/>
      <w:lvlJc w:val="righ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 w15:restartNumberingAfterBreak="0">
    <w:nsid w:val="39FE16FF"/>
    <w:multiLevelType w:val="hybridMultilevel"/>
    <w:tmpl w:val="C0448676"/>
    <w:lvl w:ilvl="0" w:tplc="C1545C98">
      <w:start w:val="1"/>
      <w:numFmt w:val="bullet"/>
      <w:lvlText w:val=""/>
      <w:lvlPicBulletId w:val="0"/>
      <w:lvlJc w:val="left"/>
      <w:pPr>
        <w:tabs>
          <w:tab w:val="num" w:pos="720"/>
        </w:tabs>
        <w:ind w:left="720" w:hanging="360"/>
      </w:pPr>
      <w:rPr>
        <w:rFonts w:ascii="Symbol" w:hAnsi="Symbol" w:hint="default"/>
        <w:sz w:val="28"/>
        <w:szCs w:val="28"/>
      </w:rPr>
    </w:lvl>
    <w:lvl w:ilvl="1" w:tplc="2CAC2D86" w:tentative="1">
      <w:start w:val="1"/>
      <w:numFmt w:val="bullet"/>
      <w:lvlText w:val=""/>
      <w:lvlJc w:val="left"/>
      <w:pPr>
        <w:tabs>
          <w:tab w:val="num" w:pos="1440"/>
        </w:tabs>
        <w:ind w:left="1440" w:hanging="360"/>
      </w:pPr>
      <w:rPr>
        <w:rFonts w:ascii="Symbol" w:hAnsi="Symbol" w:hint="default"/>
      </w:rPr>
    </w:lvl>
    <w:lvl w:ilvl="2" w:tplc="DD12BFEC" w:tentative="1">
      <w:start w:val="1"/>
      <w:numFmt w:val="bullet"/>
      <w:lvlText w:val=""/>
      <w:lvlJc w:val="left"/>
      <w:pPr>
        <w:tabs>
          <w:tab w:val="num" w:pos="2160"/>
        </w:tabs>
        <w:ind w:left="2160" w:hanging="360"/>
      </w:pPr>
      <w:rPr>
        <w:rFonts w:ascii="Symbol" w:hAnsi="Symbol" w:hint="default"/>
      </w:rPr>
    </w:lvl>
    <w:lvl w:ilvl="3" w:tplc="785E0A72" w:tentative="1">
      <w:start w:val="1"/>
      <w:numFmt w:val="bullet"/>
      <w:lvlText w:val=""/>
      <w:lvlJc w:val="left"/>
      <w:pPr>
        <w:tabs>
          <w:tab w:val="num" w:pos="2880"/>
        </w:tabs>
        <w:ind w:left="2880" w:hanging="360"/>
      </w:pPr>
      <w:rPr>
        <w:rFonts w:ascii="Symbol" w:hAnsi="Symbol" w:hint="default"/>
      </w:rPr>
    </w:lvl>
    <w:lvl w:ilvl="4" w:tplc="00CAC188" w:tentative="1">
      <w:start w:val="1"/>
      <w:numFmt w:val="bullet"/>
      <w:lvlText w:val=""/>
      <w:lvlJc w:val="left"/>
      <w:pPr>
        <w:tabs>
          <w:tab w:val="num" w:pos="3600"/>
        </w:tabs>
        <w:ind w:left="3600" w:hanging="360"/>
      </w:pPr>
      <w:rPr>
        <w:rFonts w:ascii="Symbol" w:hAnsi="Symbol" w:hint="default"/>
      </w:rPr>
    </w:lvl>
    <w:lvl w:ilvl="5" w:tplc="14E88E92" w:tentative="1">
      <w:start w:val="1"/>
      <w:numFmt w:val="bullet"/>
      <w:lvlText w:val=""/>
      <w:lvlJc w:val="left"/>
      <w:pPr>
        <w:tabs>
          <w:tab w:val="num" w:pos="4320"/>
        </w:tabs>
        <w:ind w:left="4320" w:hanging="360"/>
      </w:pPr>
      <w:rPr>
        <w:rFonts w:ascii="Symbol" w:hAnsi="Symbol" w:hint="default"/>
      </w:rPr>
    </w:lvl>
    <w:lvl w:ilvl="6" w:tplc="EB327150" w:tentative="1">
      <w:start w:val="1"/>
      <w:numFmt w:val="bullet"/>
      <w:lvlText w:val=""/>
      <w:lvlJc w:val="left"/>
      <w:pPr>
        <w:tabs>
          <w:tab w:val="num" w:pos="5040"/>
        </w:tabs>
        <w:ind w:left="5040" w:hanging="360"/>
      </w:pPr>
      <w:rPr>
        <w:rFonts w:ascii="Symbol" w:hAnsi="Symbol" w:hint="default"/>
      </w:rPr>
    </w:lvl>
    <w:lvl w:ilvl="7" w:tplc="73482B78" w:tentative="1">
      <w:start w:val="1"/>
      <w:numFmt w:val="bullet"/>
      <w:lvlText w:val=""/>
      <w:lvlJc w:val="left"/>
      <w:pPr>
        <w:tabs>
          <w:tab w:val="num" w:pos="5760"/>
        </w:tabs>
        <w:ind w:left="5760" w:hanging="360"/>
      </w:pPr>
      <w:rPr>
        <w:rFonts w:ascii="Symbol" w:hAnsi="Symbol" w:hint="default"/>
      </w:rPr>
    </w:lvl>
    <w:lvl w:ilvl="8" w:tplc="0430EDC2" w:tentative="1">
      <w:start w:val="1"/>
      <w:numFmt w:val="bullet"/>
      <w:lvlText w:val=""/>
      <w:lvlJc w:val="left"/>
      <w:pPr>
        <w:tabs>
          <w:tab w:val="num" w:pos="6480"/>
        </w:tabs>
        <w:ind w:left="6480" w:hanging="360"/>
      </w:pPr>
      <w:rPr>
        <w:rFonts w:ascii="Symbol" w:hAnsi="Symbol" w:hint="default"/>
      </w:rPr>
    </w:lvl>
  </w:abstractNum>
  <w:num w:numId="1" w16cid:durableId="595092179">
    <w:abstractNumId w:val="0"/>
  </w:num>
  <w:num w:numId="2" w16cid:durableId="1537429642">
    <w:abstractNumId w:val="2"/>
  </w:num>
  <w:num w:numId="3" w16cid:durableId="1172835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D56"/>
    <w:rsid w:val="000036CD"/>
    <w:rsid w:val="00005E02"/>
    <w:rsid w:val="00037DE3"/>
    <w:rsid w:val="00054E02"/>
    <w:rsid w:val="000675FF"/>
    <w:rsid w:val="00070454"/>
    <w:rsid w:val="000D2F22"/>
    <w:rsid w:val="000D67D6"/>
    <w:rsid w:val="000E1BE4"/>
    <w:rsid w:val="000E5B71"/>
    <w:rsid w:val="00125115"/>
    <w:rsid w:val="0013196B"/>
    <w:rsid w:val="00146457"/>
    <w:rsid w:val="00146DE0"/>
    <w:rsid w:val="001D6F32"/>
    <w:rsid w:val="001F03FD"/>
    <w:rsid w:val="00216972"/>
    <w:rsid w:val="0026601E"/>
    <w:rsid w:val="00277DF6"/>
    <w:rsid w:val="0029120C"/>
    <w:rsid w:val="00293703"/>
    <w:rsid w:val="002D532A"/>
    <w:rsid w:val="00316070"/>
    <w:rsid w:val="00376757"/>
    <w:rsid w:val="003866F6"/>
    <w:rsid w:val="003A53E4"/>
    <w:rsid w:val="003C0EED"/>
    <w:rsid w:val="003E0376"/>
    <w:rsid w:val="00402478"/>
    <w:rsid w:val="00406831"/>
    <w:rsid w:val="00424BC2"/>
    <w:rsid w:val="00433127"/>
    <w:rsid w:val="00433361"/>
    <w:rsid w:val="00441DC7"/>
    <w:rsid w:val="00450578"/>
    <w:rsid w:val="004517D6"/>
    <w:rsid w:val="004B4ECD"/>
    <w:rsid w:val="004C70CC"/>
    <w:rsid w:val="004F66AB"/>
    <w:rsid w:val="00501F05"/>
    <w:rsid w:val="005154B6"/>
    <w:rsid w:val="00525777"/>
    <w:rsid w:val="00531343"/>
    <w:rsid w:val="00531D56"/>
    <w:rsid w:val="00532712"/>
    <w:rsid w:val="0056471F"/>
    <w:rsid w:val="00572950"/>
    <w:rsid w:val="005A66A6"/>
    <w:rsid w:val="005C4909"/>
    <w:rsid w:val="005D0CFB"/>
    <w:rsid w:val="00606D86"/>
    <w:rsid w:val="00622483"/>
    <w:rsid w:val="00623657"/>
    <w:rsid w:val="0063134D"/>
    <w:rsid w:val="00654F06"/>
    <w:rsid w:val="00673E89"/>
    <w:rsid w:val="006A2AED"/>
    <w:rsid w:val="006B06C9"/>
    <w:rsid w:val="006D41EF"/>
    <w:rsid w:val="006E235F"/>
    <w:rsid w:val="006E2E96"/>
    <w:rsid w:val="007203F5"/>
    <w:rsid w:val="00726B95"/>
    <w:rsid w:val="00747BBA"/>
    <w:rsid w:val="007C1741"/>
    <w:rsid w:val="007E17A4"/>
    <w:rsid w:val="007F569F"/>
    <w:rsid w:val="00800BF4"/>
    <w:rsid w:val="00840B12"/>
    <w:rsid w:val="00845E5A"/>
    <w:rsid w:val="00850162"/>
    <w:rsid w:val="008509B7"/>
    <w:rsid w:val="00864772"/>
    <w:rsid w:val="00867E0E"/>
    <w:rsid w:val="00890CEC"/>
    <w:rsid w:val="008B6429"/>
    <w:rsid w:val="008F7140"/>
    <w:rsid w:val="00956B68"/>
    <w:rsid w:val="00975652"/>
    <w:rsid w:val="009913BB"/>
    <w:rsid w:val="0099523D"/>
    <w:rsid w:val="00995F8E"/>
    <w:rsid w:val="009A5927"/>
    <w:rsid w:val="009B0A78"/>
    <w:rsid w:val="009E1921"/>
    <w:rsid w:val="009F3942"/>
    <w:rsid w:val="00A0026B"/>
    <w:rsid w:val="00A41E4A"/>
    <w:rsid w:val="00A60CCA"/>
    <w:rsid w:val="00A81188"/>
    <w:rsid w:val="00A9011B"/>
    <w:rsid w:val="00AA3235"/>
    <w:rsid w:val="00AF3864"/>
    <w:rsid w:val="00B06158"/>
    <w:rsid w:val="00B1043F"/>
    <w:rsid w:val="00B12BA6"/>
    <w:rsid w:val="00B33808"/>
    <w:rsid w:val="00B542C5"/>
    <w:rsid w:val="00B9739A"/>
    <w:rsid w:val="00BF5F0E"/>
    <w:rsid w:val="00C065AA"/>
    <w:rsid w:val="00C16ABA"/>
    <w:rsid w:val="00C55068"/>
    <w:rsid w:val="00C7085A"/>
    <w:rsid w:val="00C803D0"/>
    <w:rsid w:val="00CB0CC8"/>
    <w:rsid w:val="00CD687F"/>
    <w:rsid w:val="00CE53B1"/>
    <w:rsid w:val="00CF0E6C"/>
    <w:rsid w:val="00D007F8"/>
    <w:rsid w:val="00D37F85"/>
    <w:rsid w:val="00D73B32"/>
    <w:rsid w:val="00D82796"/>
    <w:rsid w:val="00D83129"/>
    <w:rsid w:val="00DA34D9"/>
    <w:rsid w:val="00DF1996"/>
    <w:rsid w:val="00E72335"/>
    <w:rsid w:val="00E73742"/>
    <w:rsid w:val="00E873A9"/>
    <w:rsid w:val="00EC65C2"/>
    <w:rsid w:val="00F40747"/>
    <w:rsid w:val="00F4223A"/>
    <w:rsid w:val="00F67BCE"/>
    <w:rsid w:val="00F822C5"/>
    <w:rsid w:val="00F87A92"/>
    <w:rsid w:val="00FC3E1B"/>
    <w:rsid w:val="00FC63B0"/>
    <w:rsid w:val="00FE1BDE"/>
    <w:rsid w:val="1C617BBC"/>
    <w:rsid w:val="1C924D2D"/>
    <w:rsid w:val="3FAF7CA0"/>
    <w:rsid w:val="4DB16442"/>
    <w:rsid w:val="7D5D3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135AE"/>
  <w15:docId w15:val="{BF2E519C-97F8-4752-993D-DCCB449C6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paragraph" w:styleId="Textocomentario">
    <w:name w:val="annotation text"/>
    <w:basedOn w:val="Normal"/>
    <w:link w:val="TextocomentarioCar"/>
    <w:uiPriority w:val="99"/>
    <w:semiHidden/>
    <w:unhideWhenUsed/>
    <w:qFormat/>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Piedepgina">
    <w:name w:val="footer"/>
    <w:basedOn w:val="Normal"/>
    <w:link w:val="PiedepginaCar"/>
    <w:uiPriority w:val="99"/>
    <w:unhideWhenUsed/>
    <w:qFormat/>
    <w:pPr>
      <w:tabs>
        <w:tab w:val="center" w:pos="4680"/>
        <w:tab w:val="right" w:pos="9360"/>
      </w:tabs>
      <w:spacing w:after="0" w:line="240" w:lineRule="auto"/>
    </w:pPr>
  </w:style>
  <w:style w:type="character" w:styleId="Refdenotaalpie">
    <w:name w:val="footnote reference"/>
    <w:basedOn w:val="Fuentedeprrafopredeter"/>
    <w:uiPriority w:val="99"/>
    <w:semiHidden/>
    <w:unhideWhenUsed/>
    <w:qFormat/>
    <w:rPr>
      <w:vertAlign w:val="superscript"/>
    </w:rPr>
  </w:style>
  <w:style w:type="paragraph" w:styleId="Textonotapie">
    <w:name w:val="footnote text"/>
    <w:basedOn w:val="Normal"/>
    <w:link w:val="TextonotapieCar"/>
    <w:uiPriority w:val="99"/>
    <w:semiHidden/>
    <w:unhideWhenUsed/>
    <w:qFormat/>
    <w:pPr>
      <w:spacing w:after="0" w:line="240" w:lineRule="auto"/>
    </w:pPr>
    <w:rPr>
      <w:sz w:val="20"/>
      <w:szCs w:val="20"/>
    </w:rPr>
  </w:style>
  <w:style w:type="paragraph" w:styleId="Encabezado">
    <w:name w:val="header"/>
    <w:basedOn w:val="Normal"/>
    <w:link w:val="EncabezadoCar"/>
    <w:uiPriority w:val="99"/>
    <w:unhideWhenUsed/>
    <w:qFormat/>
    <w:pPr>
      <w:tabs>
        <w:tab w:val="center" w:pos="4680"/>
        <w:tab w:val="right" w:pos="9360"/>
      </w:tabs>
      <w:spacing w:after="0" w:line="240" w:lineRule="auto"/>
    </w:pPr>
  </w:style>
  <w:style w:type="character" w:styleId="Hipervnculo">
    <w:name w:val="Hyperlink"/>
    <w:basedOn w:val="Fuentedeprrafopredeter"/>
    <w:uiPriority w:val="99"/>
    <w:unhideWhenUsed/>
    <w:qFormat/>
    <w:rPr>
      <w:color w:val="0563C1"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rPr>
      <w:lang w:val="es-ES"/>
    </w:rPr>
  </w:style>
  <w:style w:type="character" w:customStyle="1" w:styleId="PiedepginaCar">
    <w:name w:val="Pie de página Car"/>
    <w:basedOn w:val="Fuentedeprrafopredeter"/>
    <w:link w:val="Piedepgina"/>
    <w:uiPriority w:val="99"/>
    <w:qFormat/>
    <w:rPr>
      <w:lang w:val="es-E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semiHidden/>
    <w:qFormat/>
    <w:rPr>
      <w:sz w:val="20"/>
      <w:szCs w:val="20"/>
      <w:lang w:val="es-ES"/>
    </w:rPr>
  </w:style>
  <w:style w:type="character" w:customStyle="1" w:styleId="AsuntodelcomentarioCar">
    <w:name w:val="Asunto del comentario Car"/>
    <w:basedOn w:val="TextocomentarioCar"/>
    <w:link w:val="Asuntodelcomentario"/>
    <w:uiPriority w:val="99"/>
    <w:semiHidden/>
    <w:qFormat/>
    <w:rPr>
      <w:b/>
      <w:bCs/>
      <w:sz w:val="20"/>
      <w:szCs w:val="20"/>
      <w:lang w:val="es-ES"/>
    </w:rPr>
  </w:style>
  <w:style w:type="character" w:customStyle="1" w:styleId="TextonotapieCar">
    <w:name w:val="Texto nota pie Car"/>
    <w:basedOn w:val="Fuentedeprrafopredeter"/>
    <w:link w:val="Textonotapie"/>
    <w:uiPriority w:val="99"/>
    <w:semiHidden/>
    <w:qFormat/>
    <w:rPr>
      <w:sz w:val="20"/>
      <w:szCs w:val="20"/>
      <w:lang w:val="es-ES"/>
    </w:rPr>
  </w:style>
  <w:style w:type="paragraph" w:styleId="Textodeglobo">
    <w:name w:val="Balloon Text"/>
    <w:basedOn w:val="Normal"/>
    <w:link w:val="TextodegloboCar"/>
    <w:uiPriority w:val="99"/>
    <w:semiHidden/>
    <w:unhideWhenUsed/>
    <w:rsid w:val="000675F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75F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gadomolinaj@gmail.com" TargetMode="External"/><Relationship Id="rId13" Type="http://schemas.openxmlformats.org/officeDocument/2006/relationships/hyperlink" Target="https://dspace.uclv.edu.cu/handle/123456789/65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9-0000-1236-3077%20%20%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ezjimenezclay@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0-0003-2755-4540%20" TargetMode="External"/><Relationship Id="rId4" Type="http://schemas.openxmlformats.org/officeDocument/2006/relationships/settings" Target="settings.xml"/><Relationship Id="rId9" Type="http://schemas.openxmlformats.org/officeDocument/2006/relationships/hyperlink" Target="https://orcid.org/0009-0007-6066-6663"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5B2F2-9255-4846-BBB0-88033850F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Pages>
  <Words>3848</Words>
  <Characters>21940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Enrique Orouri</cp:lastModifiedBy>
  <cp:revision>91</cp:revision>
  <cp:lastPrinted>2026-05-20T06:47:00Z</cp:lastPrinted>
  <dcterms:created xsi:type="dcterms:W3CDTF">2023-06-23T13:19:00Z</dcterms:created>
  <dcterms:modified xsi:type="dcterms:W3CDTF">2026-05-20T06:47:00Z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7368028B99594CDAB3633E74E95348C7_12</vt:lpwstr>
  </property>
</Properties>
</file>